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82778" w14:textId="77777777" w:rsidR="00B66402" w:rsidRPr="00C8380B" w:rsidRDefault="00B66402" w:rsidP="00B66402">
      <w:pPr>
        <w:jc w:val="center"/>
        <w:rPr>
          <w:b/>
          <w:sz w:val="28"/>
        </w:rPr>
      </w:pPr>
      <w:r w:rsidRPr="00C8380B">
        <w:rPr>
          <w:b/>
          <w:sz w:val="28"/>
        </w:rPr>
        <w:t>Ver</w:t>
      </w:r>
      <w:r w:rsidR="00630A06" w:rsidRPr="00C8380B">
        <w:rPr>
          <w:b/>
          <w:sz w:val="28"/>
        </w:rPr>
        <w:t>schwiegenheits</w:t>
      </w:r>
      <w:r w:rsidRPr="00C8380B">
        <w:rPr>
          <w:b/>
          <w:sz w:val="28"/>
        </w:rPr>
        <w:t>verpflichtung</w:t>
      </w:r>
    </w:p>
    <w:p w14:paraId="453F0E5F" w14:textId="77777777" w:rsidR="00B66402" w:rsidRDefault="00B66402" w:rsidP="00B66402"/>
    <w:p w14:paraId="5497C6B0" w14:textId="4C987543" w:rsidR="00B66402" w:rsidRDefault="00B66402" w:rsidP="00B66402">
      <w:r>
        <w:t xml:space="preserve">Hiermit verpflichte ich mich, Betriebs- und Geschäftsgeheimnisse, die mir im Rahmen meiner Tätigkeit </w:t>
      </w:r>
      <w:r w:rsidR="00630A06">
        <w:t xml:space="preserve">als Mitglied des Wirtschaftsausschusses (WA) </w:t>
      </w:r>
      <w:r>
        <w:t xml:space="preserve">für </w:t>
      </w:r>
      <w:r w:rsidR="000445E2">
        <w:t>…………………………</w:t>
      </w:r>
      <w:r w:rsidR="008104DE">
        <w:t xml:space="preserve">…………… </w:t>
      </w:r>
      <w:r w:rsidR="000445E2">
        <w:t>(Unternehmensname)</w:t>
      </w:r>
      <w:r>
        <w:t xml:space="preserve"> zur Kenntnis gelangen</w:t>
      </w:r>
      <w:r w:rsidR="002326B4">
        <w:t xml:space="preserve"> und vom Unternehmer eindeutig so bezeichnet </w:t>
      </w:r>
      <w:r w:rsidR="006E0496">
        <w:t>werden</w:t>
      </w:r>
      <w:r>
        <w:t xml:space="preserve">, vertraulich zu behandeln. Daten werde ich ausschließlich </w:t>
      </w:r>
      <w:r w:rsidR="00630A06">
        <w:t xml:space="preserve">im Zusammenhang mit meiner Tätigkeit im WA </w:t>
      </w:r>
      <w:r>
        <w:t xml:space="preserve">verarbeiten und gegen Kenntnisnahme durch Unbefugte sichern. </w:t>
      </w:r>
      <w:r w:rsidR="00630A06">
        <w:t xml:space="preserve">Nach Beendigung meiner Mitgliedschaft im WA werde ich diese Daten unverzüglich löschen oder dem Betriebsrat übergeben. </w:t>
      </w:r>
      <w:r>
        <w:t xml:space="preserve">Die </w:t>
      </w:r>
      <w:r w:rsidR="00630A06" w:rsidRPr="00630A06">
        <w:t>Verschwiegenheitsverpflichtung</w:t>
      </w:r>
      <w:r w:rsidR="00630A06">
        <w:t xml:space="preserve"> </w:t>
      </w:r>
      <w:r>
        <w:t xml:space="preserve">besteht nach Beendigung meiner Tätigkeit für </w:t>
      </w:r>
      <w:r w:rsidR="000445E2">
        <w:t>………………….</w:t>
      </w:r>
      <w:r>
        <w:t>.</w:t>
      </w:r>
      <w:r w:rsidR="000445E2">
        <w:t>(Unternehmensname)</w:t>
      </w:r>
      <w:r w:rsidR="00091CFD">
        <w:t xml:space="preserve"> fort</w:t>
      </w:r>
      <w:r w:rsidR="000445E2">
        <w:t>.</w:t>
      </w:r>
    </w:p>
    <w:p w14:paraId="5DAE3B7B" w14:textId="77777777" w:rsidR="00B66402" w:rsidRDefault="00B66402" w:rsidP="00B66402"/>
    <w:p w14:paraId="002CCCF5" w14:textId="0BBCE390" w:rsidR="00C8380B" w:rsidRDefault="00C8380B" w:rsidP="00B66402"/>
    <w:p w14:paraId="6872D590" w14:textId="1877F5BE" w:rsidR="003777EA" w:rsidRDefault="003777EA" w:rsidP="00B66402"/>
    <w:p w14:paraId="4D1B3A3D" w14:textId="77777777" w:rsidR="003777EA" w:rsidRDefault="003777EA" w:rsidP="00B66402"/>
    <w:p w14:paraId="51BF7C5D" w14:textId="77777777" w:rsidR="00C8380B" w:rsidRDefault="00C8380B" w:rsidP="00C8380B">
      <w:pPr>
        <w:pBdr>
          <w:top w:val="single" w:sz="4" w:space="1" w:color="auto"/>
        </w:pBdr>
      </w:pPr>
      <w:r>
        <w:t>Name</w:t>
      </w:r>
    </w:p>
    <w:p w14:paraId="3A12DFD1" w14:textId="77777777" w:rsidR="00C8380B" w:rsidRDefault="00C8380B" w:rsidP="00B66402"/>
    <w:p w14:paraId="01212999" w14:textId="77777777" w:rsidR="00C8380B" w:rsidRDefault="00C8380B" w:rsidP="00B66402"/>
    <w:p w14:paraId="70458FCC" w14:textId="77777777" w:rsidR="00C8380B" w:rsidRDefault="00C8380B" w:rsidP="00B66402"/>
    <w:p w14:paraId="37AA6E50" w14:textId="77777777" w:rsidR="00B66402" w:rsidRPr="00C8380B" w:rsidRDefault="00B66402" w:rsidP="00C8380B">
      <w:pPr>
        <w:pBdr>
          <w:top w:val="single" w:sz="4" w:space="1" w:color="auto"/>
        </w:pBdr>
      </w:pPr>
      <w:r w:rsidRPr="00C8380B">
        <w:t>Datum, Unterschrift</w:t>
      </w:r>
    </w:p>
    <w:p w14:paraId="276FDB14" w14:textId="77777777" w:rsidR="00C8380B" w:rsidRDefault="00C8380B" w:rsidP="0068165A"/>
    <w:p w14:paraId="09344DF5" w14:textId="77777777" w:rsidR="00C8380B" w:rsidRDefault="00C8380B" w:rsidP="0068165A"/>
    <w:p w14:paraId="369F729E" w14:textId="77777777" w:rsidR="00C8380B" w:rsidRDefault="00C8380B" w:rsidP="0068165A"/>
    <w:p w14:paraId="1DFCDD3C" w14:textId="77777777" w:rsidR="00C8380B" w:rsidRDefault="00C8380B" w:rsidP="0068165A"/>
    <w:p w14:paraId="08C0055E" w14:textId="77777777" w:rsidR="00C8380B" w:rsidRDefault="00C8380B" w:rsidP="0068165A"/>
    <w:p w14:paraId="499A8DF6" w14:textId="77777777" w:rsidR="00C8380B" w:rsidRDefault="00C8380B" w:rsidP="0068165A"/>
    <w:p w14:paraId="4944F3A7" w14:textId="77777777" w:rsidR="00B66402" w:rsidRPr="00C8380B" w:rsidRDefault="00B66402" w:rsidP="0068165A">
      <w:pPr>
        <w:rPr>
          <w:b/>
          <w:sz w:val="22"/>
        </w:rPr>
      </w:pPr>
      <w:r w:rsidRPr="00C8380B">
        <w:rPr>
          <w:b/>
          <w:sz w:val="22"/>
        </w:rPr>
        <w:t>Bestellung und Zusammensetzung des Wirtschaftsausschusses - § 107 BetrVG</w:t>
      </w:r>
    </w:p>
    <w:p w14:paraId="75442CF9" w14:textId="0A31450A" w:rsidR="00B66402" w:rsidRPr="00C8380B" w:rsidRDefault="00B66402" w:rsidP="0068165A">
      <w:pPr>
        <w:rPr>
          <w:rFonts w:ascii="Arial" w:hAnsi="Arial" w:cs="Arial"/>
          <w:sz w:val="22"/>
        </w:rPr>
      </w:pPr>
      <w:r w:rsidRPr="00C8380B">
        <w:rPr>
          <w:rFonts w:ascii="Arial" w:hAnsi="Arial" w:cs="Arial"/>
          <w:sz w:val="22"/>
        </w:rPr>
        <w:t>(</w:t>
      </w:r>
      <w:r w:rsidR="00C43C13">
        <w:rPr>
          <w:rFonts w:ascii="Arial" w:hAnsi="Arial" w:cs="Arial"/>
          <w:sz w:val="22"/>
        </w:rPr>
        <w:t>1</w:t>
      </w:r>
      <w:r w:rsidR="0075462C">
        <w:rPr>
          <w:rFonts w:ascii="Arial" w:hAnsi="Arial" w:cs="Arial"/>
          <w:sz w:val="22"/>
        </w:rPr>
        <w:t xml:space="preserve">) Der Wirtschaftsausschuss besteht aus mindestens drei und höchstens sieben Mitgliedern, die dem Unternehmen angehören müssen, darunter mindestens einem Betriebsratsmitglied. Zu Mitgliedern des Wirtschaftsausschusses </w:t>
      </w:r>
      <w:r w:rsidR="00AF7265">
        <w:rPr>
          <w:rFonts w:ascii="Arial" w:hAnsi="Arial" w:cs="Arial"/>
          <w:sz w:val="22"/>
        </w:rPr>
        <w:t>können auch die in § 5 Abs. 3 genannten Angestellten bestimmt werden. […]</w:t>
      </w:r>
    </w:p>
    <w:p w14:paraId="537E4E75" w14:textId="77777777" w:rsidR="00B66402" w:rsidRPr="00C8380B" w:rsidRDefault="00B66402" w:rsidP="0068165A">
      <w:pPr>
        <w:rPr>
          <w:sz w:val="22"/>
        </w:rPr>
      </w:pPr>
    </w:p>
    <w:p w14:paraId="2F94BE0A" w14:textId="77777777" w:rsidR="00B66402" w:rsidRPr="00C8380B" w:rsidRDefault="00B66402" w:rsidP="00B66402">
      <w:pPr>
        <w:rPr>
          <w:b/>
          <w:sz w:val="22"/>
        </w:rPr>
      </w:pPr>
      <w:r w:rsidRPr="00C8380B">
        <w:rPr>
          <w:b/>
          <w:sz w:val="22"/>
        </w:rPr>
        <w:t>Geheimhaltungspflicht - § 79 BetrVG</w:t>
      </w:r>
    </w:p>
    <w:p w14:paraId="784B4FCF" w14:textId="4296F8FE" w:rsidR="00B66402" w:rsidRPr="00C8380B" w:rsidRDefault="00B66402" w:rsidP="00B66402">
      <w:pPr>
        <w:rPr>
          <w:sz w:val="22"/>
        </w:rPr>
      </w:pPr>
      <w:r w:rsidRPr="00C8380B">
        <w:rPr>
          <w:sz w:val="22"/>
        </w:rPr>
        <w:t xml:space="preserve">(1) Die Mitglieder und Ersatzmitglieder des Betriebsrats sind verpflichtet, Betriebs- oder Geschäftsgeheimnisse, die ihnen wegen ihrer Zugehörigkeit zum Betriebsrat bekannt geworden </w:t>
      </w:r>
      <w:r w:rsidRPr="00D35B87">
        <w:rPr>
          <w:sz w:val="22"/>
          <w:u w:val="single"/>
        </w:rPr>
        <w:t>und</w:t>
      </w:r>
      <w:r w:rsidRPr="00C8380B">
        <w:rPr>
          <w:sz w:val="22"/>
        </w:rPr>
        <w:t xml:space="preserve"> vom Arbeitgeber ausdrücklich als geheimhaltungsbedürftig bezeichnet worden sind, nicht zu offenbaren und nicht zu verwerten. Dies gilt auch nach dem Ausscheiden aus dem Betriebsrat. Die Verpflichtung gilt nicht gegenüber Mitgliedern des </w:t>
      </w:r>
      <w:r w:rsidR="003328D2" w:rsidRPr="00C8380B">
        <w:rPr>
          <w:sz w:val="22"/>
        </w:rPr>
        <w:t>Betriebsrat</w:t>
      </w:r>
      <w:r w:rsidR="003328D2">
        <w:rPr>
          <w:sz w:val="22"/>
        </w:rPr>
        <w:t>s. […]</w:t>
      </w:r>
    </w:p>
    <w:p w14:paraId="7C41B1A8" w14:textId="40E73242" w:rsidR="00B66402" w:rsidRDefault="00B66402" w:rsidP="00B66402">
      <w:r w:rsidRPr="00C8380B">
        <w:rPr>
          <w:sz w:val="22"/>
        </w:rPr>
        <w:t xml:space="preserve">(2) Absatz 1 gilt sinngemäß für die Mitglieder </w:t>
      </w:r>
      <w:r w:rsidR="003328D2">
        <w:rPr>
          <w:sz w:val="22"/>
        </w:rPr>
        <w:t>[</w:t>
      </w:r>
      <w:r w:rsidRPr="00C8380B">
        <w:rPr>
          <w:sz w:val="22"/>
        </w:rPr>
        <w:t>…</w:t>
      </w:r>
      <w:r w:rsidR="003328D2">
        <w:rPr>
          <w:sz w:val="22"/>
        </w:rPr>
        <w:t>]</w:t>
      </w:r>
      <w:r w:rsidRPr="00C8380B">
        <w:rPr>
          <w:sz w:val="22"/>
        </w:rPr>
        <w:t xml:space="preserve"> des Wirtschaftsausschusses</w:t>
      </w:r>
      <w:r w:rsidR="003328D2">
        <w:rPr>
          <w:sz w:val="22"/>
        </w:rPr>
        <w:t xml:space="preserve"> [</w:t>
      </w:r>
      <w:r w:rsidR="00630A06" w:rsidRPr="00C8380B">
        <w:rPr>
          <w:sz w:val="22"/>
        </w:rPr>
        <w:t>..</w:t>
      </w:r>
      <w:r w:rsidRPr="00C8380B">
        <w:rPr>
          <w:sz w:val="22"/>
        </w:rPr>
        <w:t>.</w:t>
      </w:r>
      <w:r w:rsidR="003328D2">
        <w:rPr>
          <w:sz w:val="22"/>
        </w:rPr>
        <w:t>]</w:t>
      </w:r>
      <w:r w:rsidR="00D4652B">
        <w:rPr>
          <w:sz w:val="22"/>
        </w:rPr>
        <w:t>.</w:t>
      </w:r>
    </w:p>
    <w:p w14:paraId="7F4964CD" w14:textId="77777777" w:rsidR="00C8380B" w:rsidRDefault="00C8380B">
      <w:r>
        <w:br w:type="page"/>
      </w:r>
    </w:p>
    <w:p w14:paraId="3DAD0688" w14:textId="77777777" w:rsidR="00630A06" w:rsidRPr="00C8380B" w:rsidRDefault="00C8380B" w:rsidP="00C8380B">
      <w:pPr>
        <w:jc w:val="center"/>
        <w:rPr>
          <w:b/>
        </w:rPr>
      </w:pPr>
      <w:r>
        <w:rPr>
          <w:b/>
        </w:rPr>
        <w:lastRenderedPageBreak/>
        <w:t xml:space="preserve">Informationen zur </w:t>
      </w:r>
      <w:r w:rsidR="00630A06" w:rsidRPr="00C8380B">
        <w:rPr>
          <w:b/>
        </w:rPr>
        <w:t>Geheimhaltungspflicht nach § 79 BetrVG</w:t>
      </w:r>
    </w:p>
    <w:p w14:paraId="31E06533" w14:textId="77777777" w:rsidR="00C8380B" w:rsidRPr="00C8380B" w:rsidRDefault="00C8380B" w:rsidP="00630A06">
      <w:pPr>
        <w:rPr>
          <w:sz w:val="22"/>
        </w:rPr>
      </w:pPr>
    </w:p>
    <w:p w14:paraId="08972E8C" w14:textId="507AA53B" w:rsidR="00630A06" w:rsidRDefault="00284D17" w:rsidP="00630A06">
      <w:pPr>
        <w:rPr>
          <w:b/>
          <w:sz w:val="22"/>
        </w:rPr>
      </w:pPr>
      <w:r>
        <w:rPr>
          <w:b/>
          <w:sz w:val="22"/>
        </w:rPr>
        <w:t xml:space="preserve">Was ist ein Betriebs- oder </w:t>
      </w:r>
      <w:r w:rsidR="002A2C0B">
        <w:rPr>
          <w:b/>
          <w:sz w:val="22"/>
        </w:rPr>
        <w:t>Geschäftsgeheimnis</w:t>
      </w:r>
      <w:r>
        <w:rPr>
          <w:b/>
          <w:sz w:val="22"/>
        </w:rPr>
        <w:t>?</w:t>
      </w:r>
    </w:p>
    <w:p w14:paraId="6336AE16" w14:textId="2DC066FC" w:rsidR="00284D17" w:rsidRDefault="002A2C0B" w:rsidP="00630A06">
      <w:pPr>
        <w:rPr>
          <w:bCs/>
          <w:sz w:val="22"/>
        </w:rPr>
      </w:pPr>
      <w:r>
        <w:rPr>
          <w:bCs/>
          <w:sz w:val="22"/>
        </w:rPr>
        <w:t>Die Prüfung, ob ein Betriebs- oder Geschäftsgeheimnis vorliegt, erfolgt in mehreren Schritten:</w:t>
      </w:r>
      <w:r w:rsidR="00820A44">
        <w:rPr>
          <w:bCs/>
          <w:sz w:val="22"/>
        </w:rPr>
        <w:t xml:space="preserve"> Die Information</w:t>
      </w:r>
    </w:p>
    <w:p w14:paraId="3872DBF8" w14:textId="493BA47E" w:rsidR="00121BFE" w:rsidRDefault="00121BFE" w:rsidP="00873B66">
      <w:pPr>
        <w:pStyle w:val="Listenabsatz"/>
        <w:numPr>
          <w:ilvl w:val="0"/>
          <w:numId w:val="28"/>
        </w:numPr>
        <w:rPr>
          <w:bCs/>
          <w:sz w:val="22"/>
        </w:rPr>
      </w:pPr>
      <w:r>
        <w:rPr>
          <w:bCs/>
          <w:sz w:val="22"/>
        </w:rPr>
        <w:t xml:space="preserve">steht im Zusammenhang mit dem technischen Betrieb oder der wirtschaftlichen Betätigung des Unternehmens </w:t>
      </w:r>
      <w:r w:rsidRPr="00C80283">
        <w:rPr>
          <w:bCs/>
          <w:sz w:val="22"/>
          <w:u w:val="single"/>
        </w:rPr>
        <w:t>und</w:t>
      </w:r>
    </w:p>
    <w:p w14:paraId="10BAE349" w14:textId="358BEAA3" w:rsidR="00941DE5" w:rsidRDefault="00820A44" w:rsidP="00941DE5">
      <w:pPr>
        <w:pStyle w:val="Listenabsatz"/>
        <w:numPr>
          <w:ilvl w:val="0"/>
          <w:numId w:val="28"/>
        </w:numPr>
        <w:rPr>
          <w:bCs/>
          <w:sz w:val="22"/>
        </w:rPr>
      </w:pPr>
      <w:r>
        <w:rPr>
          <w:bCs/>
          <w:sz w:val="22"/>
        </w:rPr>
        <w:t>ist nur</w:t>
      </w:r>
      <w:r w:rsidR="00873B66">
        <w:rPr>
          <w:bCs/>
          <w:sz w:val="22"/>
        </w:rPr>
        <w:t xml:space="preserve"> einem begrenzten betrieblichen Personenkreis</w:t>
      </w:r>
      <w:r>
        <w:rPr>
          <w:bCs/>
          <w:sz w:val="22"/>
        </w:rPr>
        <w:t xml:space="preserve"> </w:t>
      </w:r>
      <w:r w:rsidR="003333E1">
        <w:rPr>
          <w:bCs/>
          <w:sz w:val="22"/>
        </w:rPr>
        <w:t xml:space="preserve">bekannt, also nicht offenkundig (im Umkehrschluss können </w:t>
      </w:r>
      <w:r w:rsidR="00072259">
        <w:rPr>
          <w:bCs/>
          <w:sz w:val="22"/>
        </w:rPr>
        <w:t xml:space="preserve">Tatsachen, die bereits einem größeren Personenkreis bekannt sind oder über die man sich ohne besondere Mühe informieren </w:t>
      </w:r>
      <w:r w:rsidR="00941DE5">
        <w:rPr>
          <w:bCs/>
          <w:sz w:val="22"/>
        </w:rPr>
        <w:t xml:space="preserve">kann, kein Betriebs- oder Geschäftsgeheimnis sein) </w:t>
      </w:r>
      <w:r w:rsidR="00941DE5" w:rsidRPr="00733039">
        <w:rPr>
          <w:bCs/>
          <w:sz w:val="22"/>
          <w:u w:val="single"/>
        </w:rPr>
        <w:t>und</w:t>
      </w:r>
    </w:p>
    <w:p w14:paraId="3C63DEA3" w14:textId="6ECE396C" w:rsidR="00A3361A" w:rsidRPr="00A3361A" w:rsidRDefault="000D0E42" w:rsidP="00A3361A">
      <w:pPr>
        <w:pStyle w:val="Listenabsatz"/>
        <w:numPr>
          <w:ilvl w:val="0"/>
          <w:numId w:val="28"/>
        </w:numPr>
        <w:rPr>
          <w:bCs/>
          <w:sz w:val="22"/>
        </w:rPr>
      </w:pPr>
      <w:r>
        <w:rPr>
          <w:bCs/>
          <w:sz w:val="22"/>
        </w:rPr>
        <w:t xml:space="preserve">ist so wichtig, dass der Unternehmer ein berechtigtes </w:t>
      </w:r>
      <w:r w:rsidR="00D63AE2">
        <w:rPr>
          <w:bCs/>
          <w:sz w:val="22"/>
        </w:rPr>
        <w:t xml:space="preserve">wirtschaftliches </w:t>
      </w:r>
      <w:r>
        <w:rPr>
          <w:bCs/>
          <w:sz w:val="22"/>
        </w:rPr>
        <w:t>Interesse an der Geheimhaltung hat</w:t>
      </w:r>
      <w:r w:rsidR="00A826A2">
        <w:rPr>
          <w:bCs/>
          <w:sz w:val="22"/>
        </w:rPr>
        <w:t xml:space="preserve"> (z. B. </w:t>
      </w:r>
      <w:r w:rsidR="00B007FA">
        <w:rPr>
          <w:bCs/>
          <w:sz w:val="22"/>
        </w:rPr>
        <w:t>weil die Veröffentlichung die Wettbewerbsfähigkeit des Unternehmens einschränkt)</w:t>
      </w:r>
      <w:r w:rsidR="00A3361A">
        <w:rPr>
          <w:bCs/>
          <w:sz w:val="22"/>
        </w:rPr>
        <w:t xml:space="preserve">. </w:t>
      </w:r>
      <w:r w:rsidR="00A3361A" w:rsidRPr="00A3361A">
        <w:rPr>
          <w:bCs/>
          <w:sz w:val="22"/>
        </w:rPr>
        <w:t xml:space="preserve">Kein »berechtigtes« Interesse des Arbeitgebers besteht beispielsweise bei unlauteren und gesetzwidrigen Vorgängen (z.B. Steuerhinterziehung, Nichtabführung von Sozialversicherungsbeiträgen usw.). </w:t>
      </w:r>
      <w:r w:rsidR="00733039">
        <w:rPr>
          <w:bCs/>
          <w:sz w:val="22"/>
        </w:rPr>
        <w:t>A</w:t>
      </w:r>
      <w:r w:rsidR="001E4504">
        <w:rPr>
          <w:bCs/>
          <w:sz w:val="22"/>
        </w:rPr>
        <w:t xml:space="preserve">uch die Interessen der Belegschaft sind hier zu berücksichtigen: Ist der Bestand der Arbeitsplätze gefährdet, </w:t>
      </w:r>
      <w:r w:rsidR="00B41042">
        <w:rPr>
          <w:bCs/>
          <w:sz w:val="22"/>
        </w:rPr>
        <w:t>kann diese Information nicht zu einen Betriebs- und Geschäftsgeheimnis erklärt werden.</w:t>
      </w:r>
    </w:p>
    <w:p w14:paraId="53B551E5" w14:textId="66835C5C" w:rsidR="00941DE5" w:rsidRPr="00941DE5" w:rsidRDefault="00AD0F7F" w:rsidP="00941DE5">
      <w:pPr>
        <w:pStyle w:val="Listenabsatz"/>
        <w:numPr>
          <w:ilvl w:val="0"/>
          <w:numId w:val="28"/>
        </w:numPr>
        <w:rPr>
          <w:bCs/>
          <w:sz w:val="22"/>
        </w:rPr>
      </w:pPr>
      <w:r>
        <w:rPr>
          <w:bCs/>
          <w:sz w:val="22"/>
        </w:rPr>
        <w:t xml:space="preserve">Der wahrscheinlich wichtigste Punkt bei der Prüfung ist die Tatsache, dass der Unternehmer </w:t>
      </w:r>
      <w:r w:rsidR="00115345">
        <w:rPr>
          <w:bCs/>
          <w:sz w:val="22"/>
        </w:rPr>
        <w:t xml:space="preserve">die Information auch </w:t>
      </w:r>
      <w:r w:rsidR="005E52DF">
        <w:rPr>
          <w:bCs/>
          <w:sz w:val="22"/>
        </w:rPr>
        <w:t>klar und deutlich</w:t>
      </w:r>
      <w:r w:rsidR="00115345">
        <w:rPr>
          <w:bCs/>
          <w:sz w:val="22"/>
        </w:rPr>
        <w:t xml:space="preserve"> als geheimhaltungspflichtig </w:t>
      </w:r>
      <w:r w:rsidR="005E52DF">
        <w:rPr>
          <w:bCs/>
          <w:sz w:val="22"/>
        </w:rPr>
        <w:t xml:space="preserve">bezeichnen muss. Die </w:t>
      </w:r>
      <w:r w:rsidR="001F0133">
        <w:rPr>
          <w:bCs/>
          <w:sz w:val="22"/>
        </w:rPr>
        <w:t>Kennzeichnung als „persönlich / vertraulich“ ist nicht ausreichen.</w:t>
      </w:r>
    </w:p>
    <w:p w14:paraId="3948A3F7" w14:textId="77777777" w:rsidR="00630A06" w:rsidRPr="00C8380B" w:rsidRDefault="00630A06" w:rsidP="00630A06">
      <w:pPr>
        <w:rPr>
          <w:sz w:val="22"/>
        </w:rPr>
      </w:pPr>
      <w:r w:rsidRPr="00C71D61">
        <w:rPr>
          <w:b/>
          <w:sz w:val="22"/>
        </w:rPr>
        <w:t>Hinweis:</w:t>
      </w:r>
      <w:r w:rsidRPr="00C8380B">
        <w:rPr>
          <w:sz w:val="22"/>
        </w:rPr>
        <w:t xml:space="preserve"> Wenn es nur an einer der vorstehend genannten Voraussetzungen fehlt, liegt kein Betriebs- oder Geschäftsgeheimnis vor!</w:t>
      </w:r>
    </w:p>
    <w:p w14:paraId="32C6FEC4" w14:textId="77777777" w:rsidR="00C8380B" w:rsidRPr="00C8380B" w:rsidRDefault="00C8380B" w:rsidP="00630A06">
      <w:pPr>
        <w:rPr>
          <w:b/>
          <w:sz w:val="22"/>
        </w:rPr>
      </w:pPr>
    </w:p>
    <w:p w14:paraId="6FFAEA4B" w14:textId="7DC89DC6" w:rsidR="00E16DA3" w:rsidRDefault="0042277C" w:rsidP="00630A06">
      <w:pPr>
        <w:rPr>
          <w:bCs/>
          <w:sz w:val="22"/>
        </w:rPr>
      </w:pPr>
      <w:r>
        <w:rPr>
          <w:b/>
          <w:sz w:val="22"/>
        </w:rPr>
        <w:t xml:space="preserve">§ 106 (2) S. </w:t>
      </w:r>
      <w:r w:rsidR="00FA60D0">
        <w:rPr>
          <w:b/>
          <w:sz w:val="22"/>
        </w:rPr>
        <w:t>1 BetrVG:</w:t>
      </w:r>
      <w:r w:rsidR="00A362FC">
        <w:rPr>
          <w:b/>
          <w:sz w:val="22"/>
        </w:rPr>
        <w:t xml:space="preserve"> </w:t>
      </w:r>
      <w:r w:rsidR="00A362FC">
        <w:rPr>
          <w:bCs/>
          <w:sz w:val="22"/>
        </w:rPr>
        <w:t xml:space="preserve">Der Unternehmer hat den Wirtschaftsausschuss rechtzeitig und umfassend über die </w:t>
      </w:r>
      <w:r w:rsidR="00A362FC" w:rsidRPr="00524FC0">
        <w:rPr>
          <w:bCs/>
          <w:sz w:val="22"/>
          <w:u w:val="single"/>
        </w:rPr>
        <w:t>wirtschaftlichen Angelegenheiten</w:t>
      </w:r>
      <w:r w:rsidR="00A362FC">
        <w:rPr>
          <w:bCs/>
          <w:sz w:val="22"/>
        </w:rPr>
        <w:t xml:space="preserve"> des Unternehmens […] zu unterrichten, soweit dadurch nicht Betriebs- und Geschäftsgeheimnisse gefährdet werden, […]</w:t>
      </w:r>
    </w:p>
    <w:p w14:paraId="1459A45A" w14:textId="77777777" w:rsidR="00914FF0" w:rsidRDefault="00914FF0" w:rsidP="00630A06">
      <w:pPr>
        <w:rPr>
          <w:bCs/>
          <w:sz w:val="22"/>
        </w:rPr>
      </w:pPr>
    </w:p>
    <w:p w14:paraId="5185600D" w14:textId="6511F2D8" w:rsidR="00A362FC" w:rsidRDefault="00DA4087" w:rsidP="00630A06">
      <w:pPr>
        <w:rPr>
          <w:bCs/>
          <w:sz w:val="22"/>
        </w:rPr>
      </w:pPr>
      <w:r>
        <w:rPr>
          <w:bCs/>
          <w:sz w:val="22"/>
        </w:rPr>
        <w:t xml:space="preserve">Der Unternehmer ist nach diesem Wortlaut verpflichtet, den WA in Bezug auf wirtschaftliche Angelegenheiten </w:t>
      </w:r>
      <w:r w:rsidR="002A5860">
        <w:rPr>
          <w:bCs/>
          <w:sz w:val="22"/>
        </w:rPr>
        <w:t xml:space="preserve">auch dann </w:t>
      </w:r>
      <w:r>
        <w:rPr>
          <w:bCs/>
          <w:sz w:val="22"/>
        </w:rPr>
        <w:t>zu informieren</w:t>
      </w:r>
      <w:r w:rsidR="00D45690">
        <w:rPr>
          <w:bCs/>
          <w:sz w:val="22"/>
        </w:rPr>
        <w:t>, wenn es sich um Betriebs- und Geschäftsgeheimnisse handelt</w:t>
      </w:r>
      <w:r w:rsidR="002A5860">
        <w:rPr>
          <w:bCs/>
          <w:sz w:val="22"/>
        </w:rPr>
        <w:t xml:space="preserve">, da auch der WA </w:t>
      </w:r>
      <w:r w:rsidR="00524FC0">
        <w:rPr>
          <w:bCs/>
          <w:sz w:val="22"/>
        </w:rPr>
        <w:t xml:space="preserve">der </w:t>
      </w:r>
      <w:r w:rsidR="00175C8A">
        <w:rPr>
          <w:bCs/>
          <w:sz w:val="22"/>
        </w:rPr>
        <w:t>Verschwiegenheitspflicht nach</w:t>
      </w:r>
      <w:r w:rsidR="002A5860">
        <w:rPr>
          <w:bCs/>
          <w:sz w:val="22"/>
        </w:rPr>
        <w:t xml:space="preserve"> § 79 </w:t>
      </w:r>
      <w:r w:rsidR="00E95B8A">
        <w:rPr>
          <w:bCs/>
          <w:sz w:val="22"/>
        </w:rPr>
        <w:t xml:space="preserve">(2) </w:t>
      </w:r>
      <w:r w:rsidR="002A5860">
        <w:rPr>
          <w:bCs/>
          <w:sz w:val="22"/>
        </w:rPr>
        <w:t>BetrVG unterliegt.</w:t>
      </w:r>
      <w:r w:rsidR="000E5F81">
        <w:rPr>
          <w:bCs/>
          <w:sz w:val="22"/>
        </w:rPr>
        <w:t xml:space="preserve"> </w:t>
      </w:r>
      <w:r w:rsidR="00E257CA">
        <w:rPr>
          <w:bCs/>
          <w:sz w:val="22"/>
        </w:rPr>
        <w:t>Nur in Ausnahmefällen kann die Auskunftspflicht von Seiten des Unternehmers verweigert werden, nämlich wenn</w:t>
      </w:r>
    </w:p>
    <w:p w14:paraId="58126143" w14:textId="51D9B7F2" w:rsidR="00E257CA" w:rsidRDefault="007F2B77" w:rsidP="00E257CA">
      <w:pPr>
        <w:pStyle w:val="Listenabsatz"/>
        <w:numPr>
          <w:ilvl w:val="0"/>
          <w:numId w:val="29"/>
        </w:numPr>
        <w:rPr>
          <w:bCs/>
          <w:sz w:val="22"/>
        </w:rPr>
      </w:pPr>
      <w:r>
        <w:rPr>
          <w:bCs/>
          <w:sz w:val="22"/>
        </w:rPr>
        <w:t>objektiv</w:t>
      </w:r>
      <w:r w:rsidR="00E257CA">
        <w:rPr>
          <w:bCs/>
          <w:sz w:val="22"/>
        </w:rPr>
        <w:t xml:space="preserve"> ein sachliches Interesse an einer völligen Geheimhaltung besteht</w:t>
      </w:r>
      <w:r>
        <w:rPr>
          <w:bCs/>
          <w:sz w:val="22"/>
        </w:rPr>
        <w:t xml:space="preserve"> (z. B. Gefährdung des Bestandes oder </w:t>
      </w:r>
      <w:r w:rsidR="008810B3">
        <w:rPr>
          <w:bCs/>
          <w:sz w:val="22"/>
        </w:rPr>
        <w:t xml:space="preserve">der Entwicklung des Geschäftsbetriebs bei Bekanntwerden der Information) </w:t>
      </w:r>
      <w:r w:rsidR="008810B3" w:rsidRPr="00E95B8A">
        <w:rPr>
          <w:bCs/>
          <w:sz w:val="22"/>
          <w:u w:val="single"/>
        </w:rPr>
        <w:t>und</w:t>
      </w:r>
    </w:p>
    <w:p w14:paraId="287290E3" w14:textId="3999B0DC" w:rsidR="008810B3" w:rsidRDefault="008810B3" w:rsidP="00E257CA">
      <w:pPr>
        <w:pStyle w:val="Listenabsatz"/>
        <w:numPr>
          <w:ilvl w:val="0"/>
          <w:numId w:val="29"/>
        </w:numPr>
        <w:rPr>
          <w:bCs/>
          <w:sz w:val="22"/>
        </w:rPr>
      </w:pPr>
      <w:r>
        <w:rPr>
          <w:bCs/>
          <w:sz w:val="22"/>
        </w:rPr>
        <w:t xml:space="preserve">die konkrete Befürchtung begründet ist, </w:t>
      </w:r>
      <w:r w:rsidR="003638CC">
        <w:rPr>
          <w:bCs/>
          <w:sz w:val="22"/>
        </w:rPr>
        <w:t xml:space="preserve">dass ein Mitglied des WA gegen die Verschwiegenheitspflicht </w:t>
      </w:r>
      <w:r w:rsidR="00E95B8A">
        <w:rPr>
          <w:bCs/>
          <w:sz w:val="22"/>
        </w:rPr>
        <w:t xml:space="preserve">nach § 79 (2) BetrVG </w:t>
      </w:r>
      <w:r w:rsidR="003638CC">
        <w:rPr>
          <w:bCs/>
          <w:sz w:val="22"/>
        </w:rPr>
        <w:t>verstößt.</w:t>
      </w:r>
    </w:p>
    <w:p w14:paraId="5822C8F4" w14:textId="441366C9" w:rsidR="00297239" w:rsidRPr="00297239" w:rsidRDefault="00297239" w:rsidP="00297239">
      <w:pPr>
        <w:rPr>
          <w:bCs/>
          <w:sz w:val="22"/>
        </w:rPr>
      </w:pPr>
      <w:r>
        <w:rPr>
          <w:bCs/>
          <w:sz w:val="22"/>
        </w:rPr>
        <w:t xml:space="preserve">Gegenüber dem Betriebsrat hat der Wirtschaftsausschuss keine Verschwiegenheitspflicht, da er ein Hilfsorgan des BR ist und </w:t>
      </w:r>
      <w:r w:rsidR="00FA332F">
        <w:rPr>
          <w:bCs/>
          <w:sz w:val="22"/>
        </w:rPr>
        <w:t xml:space="preserve">diesen </w:t>
      </w:r>
      <w:r>
        <w:rPr>
          <w:bCs/>
          <w:sz w:val="22"/>
        </w:rPr>
        <w:t>nach § 106 (</w:t>
      </w:r>
      <w:r w:rsidR="00FA332F">
        <w:rPr>
          <w:bCs/>
          <w:sz w:val="22"/>
        </w:rPr>
        <w:t>1) BetrVG zu unterrichten hat.</w:t>
      </w:r>
      <w:r w:rsidR="00476415">
        <w:rPr>
          <w:bCs/>
          <w:sz w:val="22"/>
        </w:rPr>
        <w:t xml:space="preserve"> </w:t>
      </w:r>
      <w:r w:rsidR="00F53EAC">
        <w:rPr>
          <w:bCs/>
          <w:sz w:val="22"/>
        </w:rPr>
        <w:t>Auch die Teilnahme eines Gewerkschaftsvertreters ist kein Grund dafür, Informationen nicht preiszugeben, da auch diese der Verschwiegenheitspflicht nach § 79</w:t>
      </w:r>
      <w:r w:rsidR="004077AA">
        <w:rPr>
          <w:bCs/>
          <w:sz w:val="22"/>
        </w:rPr>
        <w:t xml:space="preserve"> (2) BetrVG unterlieg</w:t>
      </w:r>
      <w:r w:rsidR="009D59B6">
        <w:rPr>
          <w:bCs/>
          <w:sz w:val="22"/>
        </w:rPr>
        <w:t>t</w:t>
      </w:r>
      <w:r w:rsidR="004077AA">
        <w:rPr>
          <w:bCs/>
          <w:sz w:val="22"/>
        </w:rPr>
        <w:t>.</w:t>
      </w:r>
    </w:p>
    <w:sectPr w:rsidR="00297239" w:rsidRPr="00297239" w:rsidSect="008669A6">
      <w:headerReference w:type="default" r:id="rId11"/>
      <w:pgSz w:w="11906" w:h="16838" w:code="9"/>
      <w:pgMar w:top="851" w:right="851" w:bottom="851" w:left="85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B04AE" w14:textId="77777777" w:rsidR="00E60859" w:rsidRDefault="00E60859" w:rsidP="000A347B">
      <w:r>
        <w:separator/>
      </w:r>
    </w:p>
  </w:endnote>
  <w:endnote w:type="continuationSeparator" w:id="0">
    <w:p w14:paraId="6C821710" w14:textId="77777777" w:rsidR="00E60859" w:rsidRDefault="00E60859" w:rsidP="000A347B">
      <w:r>
        <w:continuationSeparator/>
      </w:r>
    </w:p>
  </w:endnote>
  <w:endnote w:type="continuationNotice" w:id="1">
    <w:p w14:paraId="1C6D44DC" w14:textId="77777777" w:rsidR="00E60859" w:rsidRDefault="00E608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A2AB" w14:textId="77777777" w:rsidR="00E60859" w:rsidRDefault="00E60859" w:rsidP="000A347B">
      <w:r>
        <w:separator/>
      </w:r>
    </w:p>
  </w:footnote>
  <w:footnote w:type="continuationSeparator" w:id="0">
    <w:p w14:paraId="4DB9C292" w14:textId="77777777" w:rsidR="00E60859" w:rsidRDefault="00E60859" w:rsidP="000A347B">
      <w:r>
        <w:continuationSeparator/>
      </w:r>
    </w:p>
  </w:footnote>
  <w:footnote w:type="continuationNotice" w:id="1">
    <w:p w14:paraId="0630DC49" w14:textId="77777777" w:rsidR="00E60859" w:rsidRDefault="00E608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96DE" w14:textId="124C551A" w:rsidR="00C8380B" w:rsidRDefault="00C8380B" w:rsidP="00C8380B">
    <w:pPr>
      <w:spacing w:line="0" w:lineRule="atLeast"/>
      <w:jc w:val="right"/>
      <w:rPr>
        <w:b/>
        <w:bCs/>
      </w:rPr>
    </w:pPr>
    <w:r>
      <w:rPr>
        <w:b/>
        <w:bCs/>
      </w:rPr>
      <w:t xml:space="preserve">Der </w:t>
    </w:r>
    <w:r w:rsidR="000445E2">
      <w:rPr>
        <w:b/>
        <w:bCs/>
      </w:rPr>
      <w:t>Wirtschaftsausschuss</w:t>
    </w:r>
  </w:p>
  <w:p w14:paraId="31A926F2" w14:textId="570A83B2" w:rsidR="00C8380B" w:rsidRDefault="000445E2" w:rsidP="00C8380B">
    <w:pPr>
      <w:spacing w:line="0" w:lineRule="atLeast"/>
      <w:jc w:val="right"/>
      <w:rPr>
        <w:b/>
        <w:bCs/>
      </w:rPr>
    </w:pPr>
    <w:r>
      <w:rPr>
        <w:b/>
        <w:bCs/>
      </w:rPr>
      <w:t>Unternehmensname</w:t>
    </w:r>
  </w:p>
  <w:p w14:paraId="496B2DFD" w14:textId="101F0D42" w:rsidR="000445E2" w:rsidRDefault="000445E2" w:rsidP="00C8380B">
    <w:pPr>
      <w:spacing w:line="0" w:lineRule="atLeast"/>
      <w:jc w:val="right"/>
      <w:rPr>
        <w:b/>
        <w:bCs/>
      </w:rPr>
    </w:pPr>
    <w:r>
      <w:rPr>
        <w:b/>
        <w:bCs/>
      </w:rPr>
      <w:t>Anschrift</w:t>
    </w:r>
  </w:p>
  <w:p w14:paraId="4147E190" w14:textId="77777777" w:rsidR="00C8380B" w:rsidRDefault="00C8380B" w:rsidP="00C8380B">
    <w:pPr>
      <w:pStyle w:val="Kopfzeile"/>
      <w:spacing w:line="0" w:lineRule="atLeast"/>
    </w:pPr>
  </w:p>
  <w:p w14:paraId="7DA52E5F" w14:textId="77777777" w:rsidR="00C8380B" w:rsidRDefault="00C8380B" w:rsidP="00C8380B">
    <w:pPr>
      <w:pStyle w:val="Kopfzeile"/>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CA7"/>
    <w:multiLevelType w:val="hybridMultilevel"/>
    <w:tmpl w:val="919A6B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612C42"/>
    <w:multiLevelType w:val="multilevel"/>
    <w:tmpl w:val="C0562E40"/>
    <w:numStyleLink w:val="IFBListenachDIN"/>
  </w:abstractNum>
  <w:abstractNum w:abstractNumId="2" w15:restartNumberingAfterBreak="0">
    <w:nsid w:val="137F2FD3"/>
    <w:multiLevelType w:val="hybridMultilevel"/>
    <w:tmpl w:val="8DD6F0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CC72703"/>
    <w:multiLevelType w:val="multilevel"/>
    <w:tmpl w:val="6256D6A6"/>
    <w:numStyleLink w:val="IFBAufzhlung3"/>
  </w:abstractNum>
  <w:abstractNum w:abstractNumId="4" w15:restartNumberingAfterBreak="0">
    <w:nsid w:val="1EF72ED2"/>
    <w:multiLevelType w:val="multilevel"/>
    <w:tmpl w:val="6256D6A6"/>
    <w:styleLink w:val="IFBAufzhlung3"/>
    <w:lvl w:ilvl="0">
      <w:start w:val="1"/>
      <w:numFmt w:val="bullet"/>
      <w:lvlText w:val="►"/>
      <w:lvlJc w:val="left"/>
      <w:pPr>
        <w:ind w:left="397" w:hanging="397"/>
      </w:pPr>
      <w:rPr>
        <w:rFonts w:ascii="Arial" w:hAnsi="Arial" w:hint="default"/>
        <w:color w:val="CD042E" w:themeColor="accent1"/>
      </w:rPr>
    </w:lvl>
    <w:lvl w:ilvl="1">
      <w:start w:val="1"/>
      <w:numFmt w:val="bullet"/>
      <w:lvlText w:val="■"/>
      <w:lvlJc w:val="left"/>
      <w:pPr>
        <w:ind w:left="794" w:hanging="397"/>
      </w:pPr>
      <w:rPr>
        <w:rFonts w:ascii="Arial" w:hAnsi="Arial" w:hint="default"/>
        <w:color w:val="555555" w:themeColor="accent2"/>
      </w:rPr>
    </w:lvl>
    <w:lvl w:ilvl="2">
      <w:start w:val="1"/>
      <w:numFmt w:val="bullet"/>
      <w:lvlText w:val="►"/>
      <w:lvlJc w:val="left"/>
      <w:pPr>
        <w:ind w:left="1191" w:hanging="397"/>
      </w:pPr>
      <w:rPr>
        <w:rFonts w:ascii="Arial" w:hAnsi="Arial" w:hint="default"/>
        <w:color w:val="555555" w:themeColor="accent2"/>
      </w:rPr>
    </w:lvl>
    <w:lvl w:ilvl="3">
      <w:start w:val="1"/>
      <w:numFmt w:val="bullet"/>
      <w:lvlText w:val="■"/>
      <w:lvlJc w:val="left"/>
      <w:pPr>
        <w:ind w:left="1588" w:hanging="397"/>
      </w:pPr>
      <w:rPr>
        <w:rFonts w:ascii="Arial" w:hAnsi="Arial" w:hint="default"/>
        <w:color w:val="CD042E" w:themeColor="accent1"/>
      </w:rPr>
    </w:lvl>
    <w:lvl w:ilvl="4">
      <w:start w:val="1"/>
      <w:numFmt w:val="bullet"/>
      <w:lvlText w:val="►"/>
      <w:lvlJc w:val="left"/>
      <w:pPr>
        <w:ind w:left="1985" w:hanging="397"/>
      </w:pPr>
      <w:rPr>
        <w:rFonts w:ascii="Arial" w:hAnsi="Arial" w:hint="default"/>
        <w:color w:val="CD042E" w:themeColor="accent1"/>
      </w:rPr>
    </w:lvl>
    <w:lvl w:ilvl="5">
      <w:start w:val="1"/>
      <w:numFmt w:val="bullet"/>
      <w:lvlText w:val="■"/>
      <w:lvlJc w:val="left"/>
      <w:pPr>
        <w:ind w:left="2381" w:hanging="396"/>
      </w:pPr>
      <w:rPr>
        <w:rFonts w:ascii="Arial" w:hAnsi="Arial" w:hint="default"/>
        <w:color w:val="CD042E" w:themeColor="accent1"/>
      </w:rPr>
    </w:lvl>
    <w:lvl w:ilvl="6">
      <w:start w:val="1"/>
      <w:numFmt w:val="bullet"/>
      <w:lvlText w:val="►"/>
      <w:lvlJc w:val="left"/>
      <w:pPr>
        <w:ind w:left="2778" w:hanging="397"/>
      </w:pPr>
      <w:rPr>
        <w:rFonts w:ascii="Arial" w:hAnsi="Arial" w:hint="default"/>
        <w:color w:val="555555" w:themeColor="accent2"/>
      </w:rPr>
    </w:lvl>
    <w:lvl w:ilvl="7">
      <w:start w:val="1"/>
      <w:numFmt w:val="bullet"/>
      <w:lvlText w:val="■"/>
      <w:lvlJc w:val="left"/>
      <w:pPr>
        <w:ind w:left="3175" w:hanging="397"/>
      </w:pPr>
      <w:rPr>
        <w:rFonts w:ascii="Arial" w:hAnsi="Arial" w:hint="default"/>
        <w:color w:val="555555" w:themeColor="accent2"/>
      </w:rPr>
    </w:lvl>
    <w:lvl w:ilvl="8">
      <w:start w:val="1"/>
      <w:numFmt w:val="bullet"/>
      <w:lvlText w:val="■"/>
      <w:lvlJc w:val="left"/>
      <w:pPr>
        <w:ind w:left="3629" w:hanging="454"/>
      </w:pPr>
      <w:rPr>
        <w:rFonts w:ascii="Arial" w:hAnsi="Arial" w:hint="default"/>
        <w:color w:val="555555" w:themeColor="accent2"/>
      </w:rPr>
    </w:lvl>
  </w:abstractNum>
  <w:abstractNum w:abstractNumId="5" w15:restartNumberingAfterBreak="0">
    <w:nsid w:val="248F436F"/>
    <w:multiLevelType w:val="hybridMultilevel"/>
    <w:tmpl w:val="84D426D6"/>
    <w:lvl w:ilvl="0" w:tplc="41688C1C">
      <w:start w:val="1"/>
      <w:numFmt w:val="bullet"/>
      <w:pStyle w:val="Aufzhlung2"/>
      <w:lvlText w:val="■"/>
      <w:lvlJc w:val="left"/>
      <w:pPr>
        <w:ind w:left="720" w:hanging="360"/>
      </w:pPr>
      <w:rPr>
        <w:rFonts w:ascii="Arial" w:hAnsi="Arial" w:hint="default"/>
        <w:color w:val="CD042E"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4262CE"/>
    <w:multiLevelType w:val="multilevel"/>
    <w:tmpl w:val="C0562E40"/>
    <w:numStyleLink w:val="IFBListenachDIN"/>
  </w:abstractNum>
  <w:abstractNum w:abstractNumId="7" w15:restartNumberingAfterBreak="0">
    <w:nsid w:val="28451683"/>
    <w:multiLevelType w:val="multilevel"/>
    <w:tmpl w:val="C0562E40"/>
    <w:numStyleLink w:val="IFBListenachDIN"/>
  </w:abstractNum>
  <w:abstractNum w:abstractNumId="8" w15:restartNumberingAfterBreak="0">
    <w:nsid w:val="29654EA6"/>
    <w:multiLevelType w:val="hybridMultilevel"/>
    <w:tmpl w:val="E690A6FA"/>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9D22253"/>
    <w:multiLevelType w:val="hybridMultilevel"/>
    <w:tmpl w:val="438A76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A135FD0"/>
    <w:multiLevelType w:val="multilevel"/>
    <w:tmpl w:val="6256D6A6"/>
    <w:numStyleLink w:val="IFBAufzhlung3"/>
  </w:abstractNum>
  <w:abstractNum w:abstractNumId="11" w15:restartNumberingAfterBreak="0">
    <w:nsid w:val="2F225FF6"/>
    <w:multiLevelType w:val="multilevel"/>
    <w:tmpl w:val="67186E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2F271F27"/>
    <w:multiLevelType w:val="multilevel"/>
    <w:tmpl w:val="C0562E40"/>
    <w:numStyleLink w:val="IFBListenachDIN"/>
  </w:abstractNum>
  <w:abstractNum w:abstractNumId="13" w15:restartNumberingAfterBreak="0">
    <w:nsid w:val="30C232CE"/>
    <w:multiLevelType w:val="hybridMultilevel"/>
    <w:tmpl w:val="7B666DAC"/>
    <w:lvl w:ilvl="0" w:tplc="BD42FCE0">
      <w:start w:val="1"/>
      <w:numFmt w:val="bullet"/>
      <w:pStyle w:val="Aufzhlung1"/>
      <w:lvlText w:val="►"/>
      <w:lvlJc w:val="left"/>
      <w:pPr>
        <w:ind w:left="720" w:hanging="360"/>
      </w:pPr>
      <w:rPr>
        <w:rFonts w:ascii="Arial" w:hAnsi="Arial" w:hint="default"/>
        <w:color w:val="CD042E" w:themeColor="accent1"/>
        <w:u w:color="EEECE1"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C60202"/>
    <w:multiLevelType w:val="multilevel"/>
    <w:tmpl w:val="C0562E40"/>
    <w:numStyleLink w:val="IFBListenachDIN"/>
  </w:abstractNum>
  <w:abstractNum w:abstractNumId="15" w15:restartNumberingAfterBreak="0">
    <w:nsid w:val="331F788E"/>
    <w:multiLevelType w:val="hybridMultilevel"/>
    <w:tmpl w:val="41D63AA6"/>
    <w:lvl w:ilvl="0" w:tplc="17A8C726">
      <w:start w:val="1"/>
      <w:numFmt w:val="bullet"/>
      <w:lvlText w:val="►"/>
      <w:lvlJc w:val="left"/>
      <w:pPr>
        <w:ind w:left="720" w:hanging="360"/>
      </w:pPr>
      <w:rPr>
        <w:rFonts w:ascii="Arial" w:hAnsi="Arial" w:hint="default"/>
        <w:color w:val="CD042E" w:themeColor="accent1"/>
        <w:u w:color="EEECE1"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980C59"/>
    <w:multiLevelType w:val="multilevel"/>
    <w:tmpl w:val="E604C52A"/>
    <w:styleLink w:val="IFBAufzhlung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50417F"/>
    <w:multiLevelType w:val="multilevel"/>
    <w:tmpl w:val="C0562E40"/>
    <w:numStyleLink w:val="IFBListenachDIN"/>
  </w:abstractNum>
  <w:abstractNum w:abstractNumId="18" w15:restartNumberingAfterBreak="0">
    <w:nsid w:val="4CCA22A0"/>
    <w:multiLevelType w:val="multilevel"/>
    <w:tmpl w:val="C0562E40"/>
    <w:numStyleLink w:val="IFBListenachDIN"/>
  </w:abstractNum>
  <w:abstractNum w:abstractNumId="19" w15:restartNumberingAfterBreak="0">
    <w:nsid w:val="4F5D7248"/>
    <w:multiLevelType w:val="hybridMultilevel"/>
    <w:tmpl w:val="32428F26"/>
    <w:lvl w:ilvl="0" w:tplc="12D8295A">
      <w:start w:val="1"/>
      <w:numFmt w:val="bullet"/>
      <w:pStyle w:val="l5"/>
      <w:lvlText w:val="►"/>
      <w:lvlJc w:val="left"/>
      <w:pPr>
        <w:ind w:left="720" w:hanging="360"/>
      </w:pPr>
      <w:rPr>
        <w:rFonts w:ascii="Arial" w:hAnsi="Arial" w:hint="default"/>
        <w:color w:val="CD042E" w:themeColor="accent1"/>
        <w:u w:color="EEECE1"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996387"/>
    <w:multiLevelType w:val="multilevel"/>
    <w:tmpl w:val="C0562E40"/>
    <w:numStyleLink w:val="IFBListenachDIN"/>
  </w:abstractNum>
  <w:abstractNum w:abstractNumId="21" w15:restartNumberingAfterBreak="0">
    <w:nsid w:val="56ED7F35"/>
    <w:multiLevelType w:val="multilevel"/>
    <w:tmpl w:val="C0562E40"/>
    <w:numStyleLink w:val="IFBListenachDIN"/>
  </w:abstractNum>
  <w:abstractNum w:abstractNumId="22" w15:restartNumberingAfterBreak="0">
    <w:nsid w:val="5CB12A1E"/>
    <w:multiLevelType w:val="hybridMultilevel"/>
    <w:tmpl w:val="204A1280"/>
    <w:lvl w:ilvl="0" w:tplc="0E726E24">
      <w:start w:val="1"/>
      <w:numFmt w:val="bullet"/>
      <w:lvlText w:val="►"/>
      <w:lvlJc w:val="left"/>
      <w:pPr>
        <w:ind w:left="720" w:hanging="360"/>
      </w:pPr>
      <w:rPr>
        <w:rFonts w:ascii="Arial" w:hAnsi="Arial" w:hint="default"/>
        <w:u w:color="EEECE1"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251194"/>
    <w:multiLevelType w:val="hybridMultilevel"/>
    <w:tmpl w:val="29F87902"/>
    <w:lvl w:ilvl="0" w:tplc="8626DDFC">
      <w:start w:val="1"/>
      <w:numFmt w:val="bullet"/>
      <w:lvlText w:val="–"/>
      <w:lvlJc w:val="left"/>
      <w:pPr>
        <w:ind w:left="720" w:hanging="360"/>
      </w:pPr>
      <w:rPr>
        <w:rFonts w:ascii="Arial" w:hAnsi="Arial" w:hint="default"/>
        <w:color w:val="CD042E" w:themeColor="accent1"/>
        <w:u w:color="EEECE1"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D36886"/>
    <w:multiLevelType w:val="multilevel"/>
    <w:tmpl w:val="C0562E40"/>
    <w:numStyleLink w:val="IFBListenachDIN"/>
  </w:abstractNum>
  <w:abstractNum w:abstractNumId="25" w15:restartNumberingAfterBreak="0">
    <w:nsid w:val="643766F5"/>
    <w:multiLevelType w:val="multilevel"/>
    <w:tmpl w:val="4790AC2E"/>
    <w:styleLink w:val="IFBAufzhlung1"/>
    <w:lvl w:ilvl="0">
      <w:start w:val="1"/>
      <w:numFmt w:val="bullet"/>
      <w:lvlText w:val="■"/>
      <w:lvlJc w:val="left"/>
      <w:pPr>
        <w:ind w:left="397" w:hanging="397"/>
      </w:pPr>
      <w:rPr>
        <w:rFonts w:ascii="Arial" w:hAnsi="Arial" w:hint="default"/>
        <w:color w:val="CD042E" w:themeColor="accent1"/>
      </w:rPr>
    </w:lvl>
    <w:lvl w:ilvl="1">
      <w:start w:val="1"/>
      <w:numFmt w:val="bullet"/>
      <w:lvlText w:val="□"/>
      <w:lvlJc w:val="left"/>
      <w:pPr>
        <w:ind w:left="794" w:hanging="397"/>
      </w:pPr>
      <w:rPr>
        <w:rFonts w:ascii="Arial" w:hAnsi="Arial" w:hint="default"/>
        <w:color w:val="CD042E" w:themeColor="accent1"/>
      </w:rPr>
    </w:lvl>
    <w:lvl w:ilvl="2">
      <w:start w:val="1"/>
      <w:numFmt w:val="bullet"/>
      <w:lvlText w:val="■"/>
      <w:lvlJc w:val="left"/>
      <w:pPr>
        <w:ind w:left="1191" w:hanging="397"/>
      </w:pPr>
      <w:rPr>
        <w:rFonts w:ascii="Arial" w:hAnsi="Arial" w:hint="default"/>
        <w:color w:val="555555" w:themeColor="accent2"/>
      </w:rPr>
    </w:lvl>
    <w:lvl w:ilvl="3">
      <w:start w:val="1"/>
      <w:numFmt w:val="bullet"/>
      <w:lvlText w:val="□"/>
      <w:lvlJc w:val="left"/>
      <w:pPr>
        <w:ind w:left="1588" w:hanging="397"/>
      </w:pPr>
      <w:rPr>
        <w:rFonts w:ascii="Arial" w:hAnsi="Arial" w:hint="default"/>
        <w:color w:val="555555" w:themeColor="accent2"/>
      </w:rPr>
    </w:lvl>
    <w:lvl w:ilvl="4">
      <w:start w:val="1"/>
      <w:numFmt w:val="bullet"/>
      <w:lvlText w:val="■"/>
      <w:lvlJc w:val="left"/>
      <w:pPr>
        <w:ind w:left="1985" w:hanging="397"/>
      </w:pPr>
      <w:rPr>
        <w:rFonts w:ascii="Arial" w:hAnsi="Arial" w:hint="default"/>
        <w:color w:val="CD042E" w:themeColor="accent1"/>
      </w:rPr>
    </w:lvl>
    <w:lvl w:ilvl="5">
      <w:start w:val="1"/>
      <w:numFmt w:val="bullet"/>
      <w:lvlText w:val="□"/>
      <w:lvlJc w:val="left"/>
      <w:pPr>
        <w:ind w:left="2381" w:hanging="396"/>
      </w:pPr>
      <w:rPr>
        <w:rFonts w:ascii="Arial" w:hAnsi="Arial" w:hint="default"/>
        <w:color w:val="CD042E" w:themeColor="accent1"/>
      </w:rPr>
    </w:lvl>
    <w:lvl w:ilvl="6">
      <w:start w:val="1"/>
      <w:numFmt w:val="bullet"/>
      <w:lvlText w:val="■"/>
      <w:lvlJc w:val="left"/>
      <w:pPr>
        <w:ind w:left="2778" w:hanging="397"/>
      </w:pPr>
      <w:rPr>
        <w:rFonts w:ascii="Arial" w:hAnsi="Arial" w:hint="default"/>
        <w:color w:val="555555" w:themeColor="accent2"/>
      </w:rPr>
    </w:lvl>
    <w:lvl w:ilvl="7">
      <w:start w:val="1"/>
      <w:numFmt w:val="bullet"/>
      <w:lvlText w:val="□"/>
      <w:lvlJc w:val="left"/>
      <w:pPr>
        <w:ind w:left="3175" w:hanging="397"/>
      </w:pPr>
      <w:rPr>
        <w:rFonts w:ascii="Arial" w:hAnsi="Arial" w:hint="default"/>
        <w:color w:val="555555" w:themeColor="accent2"/>
      </w:rPr>
    </w:lvl>
    <w:lvl w:ilvl="8">
      <w:start w:val="1"/>
      <w:numFmt w:val="bullet"/>
      <w:lvlText w:val="■"/>
      <w:lvlJc w:val="left"/>
      <w:pPr>
        <w:ind w:left="3629" w:hanging="454"/>
      </w:pPr>
      <w:rPr>
        <w:rFonts w:ascii="Arial" w:hAnsi="Arial" w:hint="default"/>
        <w:color w:val="555555" w:themeColor="accent2"/>
      </w:rPr>
    </w:lvl>
  </w:abstractNum>
  <w:abstractNum w:abstractNumId="26" w15:restartNumberingAfterBreak="0">
    <w:nsid w:val="79D23475"/>
    <w:multiLevelType w:val="multilevel"/>
    <w:tmpl w:val="C0562E40"/>
    <w:styleLink w:val="IFBListenachDIN"/>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304" w:hanging="624"/>
      </w:pPr>
      <w:rPr>
        <w:rFonts w:hint="default"/>
      </w:rPr>
    </w:lvl>
    <w:lvl w:ilvl="4">
      <w:start w:val="1"/>
      <w:numFmt w:val="decimal"/>
      <w:lvlText w:val="%1.%2.%3.%4.%5"/>
      <w:lvlJc w:val="left"/>
      <w:pPr>
        <w:tabs>
          <w:tab w:val="num" w:pos="1304"/>
        </w:tabs>
        <w:ind w:left="1985" w:hanging="681"/>
      </w:pPr>
      <w:rPr>
        <w:rFonts w:hint="default"/>
      </w:rPr>
    </w:lvl>
    <w:lvl w:ilvl="5">
      <w:start w:val="1"/>
      <w:numFmt w:val="decimal"/>
      <w:lvlText w:val="%1.%2.%3.%4.%5.%6"/>
      <w:lvlJc w:val="left"/>
      <w:pPr>
        <w:tabs>
          <w:tab w:val="num" w:pos="1304"/>
        </w:tabs>
        <w:ind w:left="1985" w:hanging="681"/>
      </w:pPr>
      <w:rPr>
        <w:rFonts w:hint="default"/>
      </w:rPr>
    </w:lvl>
    <w:lvl w:ilvl="6">
      <w:start w:val="1"/>
      <w:numFmt w:val="decimal"/>
      <w:lvlText w:val="%1.%2.%3.%4.%5.%6.%7"/>
      <w:lvlJc w:val="left"/>
      <w:pPr>
        <w:tabs>
          <w:tab w:val="num" w:pos="1985"/>
        </w:tabs>
        <w:ind w:left="2608" w:hanging="623"/>
      </w:pPr>
      <w:rPr>
        <w:rFonts w:hint="default"/>
      </w:rPr>
    </w:lvl>
    <w:lvl w:ilvl="7">
      <w:start w:val="1"/>
      <w:numFmt w:val="decimal"/>
      <w:lvlText w:val="%1.%2.%3.%4.%5.%6.%7.%8"/>
      <w:lvlJc w:val="left"/>
      <w:pPr>
        <w:tabs>
          <w:tab w:val="num" w:pos="1985"/>
        </w:tabs>
        <w:ind w:left="2608" w:hanging="623"/>
      </w:pPr>
      <w:rPr>
        <w:rFonts w:hint="default"/>
      </w:rPr>
    </w:lvl>
    <w:lvl w:ilvl="8">
      <w:start w:val="1"/>
      <w:numFmt w:val="decimal"/>
      <w:lvlText w:val="%1.%2.%3.%4.%5.%6.%7.%8.%9"/>
      <w:lvlJc w:val="left"/>
      <w:pPr>
        <w:ind w:left="3289" w:hanging="681"/>
      </w:pPr>
      <w:rPr>
        <w:rFonts w:hint="default"/>
      </w:rPr>
    </w:lvl>
  </w:abstractNum>
  <w:abstractNum w:abstractNumId="27" w15:restartNumberingAfterBreak="0">
    <w:nsid w:val="7DA32A5F"/>
    <w:multiLevelType w:val="multilevel"/>
    <w:tmpl w:val="C0562E40"/>
    <w:numStyleLink w:val="IFBListenachDIN"/>
  </w:abstractNum>
  <w:abstractNum w:abstractNumId="28" w15:restartNumberingAfterBreak="0">
    <w:nsid w:val="7E067DA7"/>
    <w:multiLevelType w:val="hybridMultilevel"/>
    <w:tmpl w:val="0DB4F646"/>
    <w:lvl w:ilvl="0" w:tplc="17A8C726">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3728938">
    <w:abstractNumId w:val="11"/>
  </w:num>
  <w:num w:numId="2" w16cid:durableId="1783453760">
    <w:abstractNumId w:val="26"/>
  </w:num>
  <w:num w:numId="3" w16cid:durableId="1038973447">
    <w:abstractNumId w:val="1"/>
  </w:num>
  <w:num w:numId="4" w16cid:durableId="780875955">
    <w:abstractNumId w:val="24"/>
  </w:num>
  <w:num w:numId="5" w16cid:durableId="742679454">
    <w:abstractNumId w:val="12"/>
  </w:num>
  <w:num w:numId="6" w16cid:durableId="936133898">
    <w:abstractNumId w:val="17"/>
  </w:num>
  <w:num w:numId="7" w16cid:durableId="593711543">
    <w:abstractNumId w:val="27"/>
  </w:num>
  <w:num w:numId="8" w16cid:durableId="256910348">
    <w:abstractNumId w:val="21"/>
  </w:num>
  <w:num w:numId="9" w16cid:durableId="2143385023">
    <w:abstractNumId w:val="20"/>
  </w:num>
  <w:num w:numId="10" w16cid:durableId="576398175">
    <w:abstractNumId w:val="7"/>
  </w:num>
  <w:num w:numId="11" w16cid:durableId="2104915486">
    <w:abstractNumId w:val="6"/>
  </w:num>
  <w:num w:numId="12" w16cid:durableId="815562397">
    <w:abstractNumId w:val="14"/>
  </w:num>
  <w:num w:numId="13" w16cid:durableId="1160730737">
    <w:abstractNumId w:val="18"/>
  </w:num>
  <w:num w:numId="14" w16cid:durableId="1150295341">
    <w:abstractNumId w:val="28"/>
  </w:num>
  <w:num w:numId="15" w16cid:durableId="1207763529">
    <w:abstractNumId w:val="22"/>
  </w:num>
  <w:num w:numId="16" w16cid:durableId="1810976250">
    <w:abstractNumId w:val="19"/>
  </w:num>
  <w:num w:numId="17" w16cid:durableId="1428381429">
    <w:abstractNumId w:val="23"/>
  </w:num>
  <w:num w:numId="18" w16cid:durableId="773287038">
    <w:abstractNumId w:val="13"/>
  </w:num>
  <w:num w:numId="19" w16cid:durableId="664868471">
    <w:abstractNumId w:val="15"/>
  </w:num>
  <w:num w:numId="20" w16cid:durableId="246353140">
    <w:abstractNumId w:val="5"/>
  </w:num>
  <w:num w:numId="21" w16cid:durableId="1221163371">
    <w:abstractNumId w:val="25"/>
  </w:num>
  <w:num w:numId="22" w16cid:durableId="644434142">
    <w:abstractNumId w:val="3"/>
  </w:num>
  <w:num w:numId="23" w16cid:durableId="442648947">
    <w:abstractNumId w:val="16"/>
  </w:num>
  <w:num w:numId="24" w16cid:durableId="1592158855">
    <w:abstractNumId w:val="4"/>
  </w:num>
  <w:num w:numId="25" w16cid:durableId="1336418835">
    <w:abstractNumId w:val="10"/>
  </w:num>
  <w:num w:numId="26" w16cid:durableId="775634074">
    <w:abstractNumId w:val="2"/>
  </w:num>
  <w:num w:numId="27" w16cid:durableId="2064016609">
    <w:abstractNumId w:val="8"/>
  </w:num>
  <w:num w:numId="28" w16cid:durableId="1139299349">
    <w:abstractNumId w:val="9"/>
  </w:num>
  <w:num w:numId="29" w16cid:durableId="49815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02"/>
    <w:rsid w:val="000346EF"/>
    <w:rsid w:val="000445E2"/>
    <w:rsid w:val="00072259"/>
    <w:rsid w:val="00091CFD"/>
    <w:rsid w:val="000A347B"/>
    <w:rsid w:val="000B4338"/>
    <w:rsid w:val="000B479F"/>
    <w:rsid w:val="000D0E42"/>
    <w:rsid w:val="000E5F81"/>
    <w:rsid w:val="00103FD0"/>
    <w:rsid w:val="00115345"/>
    <w:rsid w:val="00121BFE"/>
    <w:rsid w:val="00136F90"/>
    <w:rsid w:val="00141A8D"/>
    <w:rsid w:val="0015475D"/>
    <w:rsid w:val="00175C8A"/>
    <w:rsid w:val="001E4504"/>
    <w:rsid w:val="001F0133"/>
    <w:rsid w:val="00211898"/>
    <w:rsid w:val="002326B4"/>
    <w:rsid w:val="00242CDC"/>
    <w:rsid w:val="00284D17"/>
    <w:rsid w:val="00297239"/>
    <w:rsid w:val="002A2C0B"/>
    <w:rsid w:val="002A5860"/>
    <w:rsid w:val="002D3B60"/>
    <w:rsid w:val="00301C69"/>
    <w:rsid w:val="00315E29"/>
    <w:rsid w:val="003328D2"/>
    <w:rsid w:val="003333E1"/>
    <w:rsid w:val="00334DD4"/>
    <w:rsid w:val="003361FD"/>
    <w:rsid w:val="00343082"/>
    <w:rsid w:val="003638CC"/>
    <w:rsid w:val="003777EA"/>
    <w:rsid w:val="003B7D2F"/>
    <w:rsid w:val="003F24AF"/>
    <w:rsid w:val="004077AA"/>
    <w:rsid w:val="0042275B"/>
    <w:rsid w:val="0042277C"/>
    <w:rsid w:val="00471B1F"/>
    <w:rsid w:val="00476415"/>
    <w:rsid w:val="00493FA0"/>
    <w:rsid w:val="004B1C73"/>
    <w:rsid w:val="00505F6E"/>
    <w:rsid w:val="00524FC0"/>
    <w:rsid w:val="00550298"/>
    <w:rsid w:val="00574C9B"/>
    <w:rsid w:val="005A1441"/>
    <w:rsid w:val="005E52DF"/>
    <w:rsid w:val="00630A06"/>
    <w:rsid w:val="00632153"/>
    <w:rsid w:val="0068165A"/>
    <w:rsid w:val="006E0496"/>
    <w:rsid w:val="006E584F"/>
    <w:rsid w:val="00733039"/>
    <w:rsid w:val="0075462C"/>
    <w:rsid w:val="00755D9E"/>
    <w:rsid w:val="007F2B77"/>
    <w:rsid w:val="008104DE"/>
    <w:rsid w:val="00820A44"/>
    <w:rsid w:val="008669A6"/>
    <w:rsid w:val="00873B66"/>
    <w:rsid w:val="008810B3"/>
    <w:rsid w:val="008F3C3C"/>
    <w:rsid w:val="00914FF0"/>
    <w:rsid w:val="009332EE"/>
    <w:rsid w:val="00941DE5"/>
    <w:rsid w:val="00942C6E"/>
    <w:rsid w:val="00956131"/>
    <w:rsid w:val="00961E1D"/>
    <w:rsid w:val="009D59B6"/>
    <w:rsid w:val="009E4E91"/>
    <w:rsid w:val="00A10D2D"/>
    <w:rsid w:val="00A3361A"/>
    <w:rsid w:val="00A362FC"/>
    <w:rsid w:val="00A826A2"/>
    <w:rsid w:val="00AD0F7F"/>
    <w:rsid w:val="00AE0BE2"/>
    <w:rsid w:val="00AF7265"/>
    <w:rsid w:val="00B007FA"/>
    <w:rsid w:val="00B41042"/>
    <w:rsid w:val="00B66402"/>
    <w:rsid w:val="00B84557"/>
    <w:rsid w:val="00BB0409"/>
    <w:rsid w:val="00BB0806"/>
    <w:rsid w:val="00C06D71"/>
    <w:rsid w:val="00C16279"/>
    <w:rsid w:val="00C43C13"/>
    <w:rsid w:val="00C71D61"/>
    <w:rsid w:val="00C76012"/>
    <w:rsid w:val="00C80283"/>
    <w:rsid w:val="00C8380B"/>
    <w:rsid w:val="00CC4BAC"/>
    <w:rsid w:val="00CC50EF"/>
    <w:rsid w:val="00D31FBA"/>
    <w:rsid w:val="00D35B87"/>
    <w:rsid w:val="00D45690"/>
    <w:rsid w:val="00D4652B"/>
    <w:rsid w:val="00D63AE2"/>
    <w:rsid w:val="00DA4087"/>
    <w:rsid w:val="00DD4D2C"/>
    <w:rsid w:val="00E16DA3"/>
    <w:rsid w:val="00E21543"/>
    <w:rsid w:val="00E257CA"/>
    <w:rsid w:val="00E60859"/>
    <w:rsid w:val="00E91B3B"/>
    <w:rsid w:val="00E95B8A"/>
    <w:rsid w:val="00EB32E8"/>
    <w:rsid w:val="00ED5BB6"/>
    <w:rsid w:val="00EE4D2F"/>
    <w:rsid w:val="00EF4595"/>
    <w:rsid w:val="00F302D3"/>
    <w:rsid w:val="00F53EAC"/>
    <w:rsid w:val="00FA332F"/>
    <w:rsid w:val="00FA60D0"/>
    <w:rsid w:val="00FD22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0D10"/>
  <w15:chartTrackingRefBased/>
  <w15:docId w15:val="{506D677A-D99D-4577-BDEE-A1F82311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de-DE" w:eastAsia="en-US"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66402"/>
    <w:rPr>
      <w:sz w:val="24"/>
      <w:szCs w:val="22"/>
    </w:rPr>
  </w:style>
  <w:style w:type="paragraph" w:styleId="berschrift1">
    <w:name w:val="heading 1"/>
    <w:basedOn w:val="Standard"/>
    <w:next w:val="Standard"/>
    <w:link w:val="berschrift1Zchn"/>
    <w:uiPriority w:val="9"/>
    <w:qFormat/>
    <w:rsid w:val="0042275B"/>
    <w:pPr>
      <w:spacing w:line="263" w:lineRule="auto"/>
      <w:outlineLvl w:val="0"/>
    </w:pPr>
    <w:rPr>
      <w:b/>
      <w:sz w:val="42"/>
      <w:szCs w:val="42"/>
    </w:rPr>
  </w:style>
  <w:style w:type="paragraph" w:styleId="berschrift2">
    <w:name w:val="heading 2"/>
    <w:basedOn w:val="Standard"/>
    <w:next w:val="Standard"/>
    <w:link w:val="berschrift2Zchn"/>
    <w:uiPriority w:val="9"/>
    <w:unhideWhenUsed/>
    <w:qFormat/>
    <w:rsid w:val="0042275B"/>
    <w:pPr>
      <w:spacing w:after="170" w:line="280" w:lineRule="auto"/>
      <w:outlineLvl w:val="1"/>
    </w:pPr>
    <w:rPr>
      <w:sz w:val="36"/>
      <w:szCs w:val="36"/>
    </w:rPr>
  </w:style>
  <w:style w:type="paragraph" w:styleId="berschrift3">
    <w:name w:val="heading 3"/>
    <w:basedOn w:val="Standard"/>
    <w:next w:val="Standard"/>
    <w:link w:val="berschrift3Zchn"/>
    <w:uiPriority w:val="9"/>
    <w:unhideWhenUsed/>
    <w:qFormat/>
    <w:rsid w:val="0042275B"/>
    <w:pPr>
      <w:spacing w:after="57"/>
      <w:outlineLvl w:val="2"/>
    </w:pPr>
    <w:rPr>
      <w:sz w:val="26"/>
      <w:szCs w:val="26"/>
    </w:rPr>
  </w:style>
  <w:style w:type="paragraph" w:styleId="berschrift4">
    <w:name w:val="heading 4"/>
    <w:basedOn w:val="Standard"/>
    <w:next w:val="Standard"/>
    <w:link w:val="berschrift4Zchn"/>
    <w:uiPriority w:val="9"/>
    <w:unhideWhenUsed/>
    <w:qFormat/>
    <w:rsid w:val="0042275B"/>
    <w:pPr>
      <w:spacing w:after="170"/>
      <w:outlineLvl w:val="3"/>
    </w:pPr>
    <w:rPr>
      <w:b/>
    </w:rPr>
  </w:style>
  <w:style w:type="paragraph" w:styleId="berschrift5">
    <w:name w:val="heading 5"/>
    <w:basedOn w:val="Standard"/>
    <w:next w:val="Standard"/>
    <w:link w:val="berschrift5Zchn"/>
    <w:uiPriority w:val="9"/>
    <w:unhideWhenUsed/>
    <w:qFormat/>
    <w:rsid w:val="0042275B"/>
    <w:pPr>
      <w:spacing w:line="316" w:lineRule="auto"/>
      <w:outlineLvl w:val="4"/>
    </w:pPr>
    <w:rPr>
      <w:sz w:val="19"/>
      <w:szCs w:val="19"/>
    </w:rPr>
  </w:style>
  <w:style w:type="paragraph" w:styleId="berschrift6">
    <w:name w:val="heading 6"/>
    <w:basedOn w:val="Standard"/>
    <w:next w:val="Standard"/>
    <w:link w:val="berschrift6Zchn"/>
    <w:uiPriority w:val="9"/>
    <w:unhideWhenUsed/>
    <w:qFormat/>
    <w:rsid w:val="0042275B"/>
    <w:pPr>
      <w:spacing w:after="113" w:line="311" w:lineRule="auto"/>
      <w:outlineLvl w:val="5"/>
    </w:pPr>
    <w:rPr>
      <w:b/>
      <w:sz w:val="17"/>
      <w:szCs w:val="17"/>
    </w:rPr>
  </w:style>
  <w:style w:type="paragraph" w:styleId="berschrift7">
    <w:name w:val="heading 7"/>
    <w:basedOn w:val="Standard"/>
    <w:next w:val="Standard"/>
    <w:link w:val="berschrift7Zchn"/>
    <w:uiPriority w:val="9"/>
    <w:unhideWhenUsed/>
    <w:qFormat/>
    <w:rsid w:val="0042275B"/>
    <w:pPr>
      <w:keepNext/>
      <w:keepLines/>
      <w:spacing w:line="320" w:lineRule="auto"/>
      <w:outlineLvl w:val="6"/>
    </w:pPr>
    <w:rPr>
      <w:rFonts w:asciiTheme="majorHAnsi" w:eastAsiaTheme="majorEastAsia" w:hAnsiTheme="majorHAnsi" w:cstheme="majorBidi"/>
      <w:iCs/>
      <w:color w:val="404040" w:themeColor="text1" w:themeTint="BF"/>
      <w:sz w:val="12"/>
      <w:szCs w:val="12"/>
    </w:rPr>
  </w:style>
  <w:style w:type="paragraph" w:styleId="berschrift8">
    <w:name w:val="heading 8"/>
    <w:basedOn w:val="Standard"/>
    <w:next w:val="Standard"/>
    <w:link w:val="berschrift8Zchn"/>
    <w:uiPriority w:val="9"/>
    <w:unhideWhenUsed/>
    <w:qFormat/>
    <w:rsid w:val="00E91B3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755D9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B32E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32E8"/>
    <w:rPr>
      <w:rFonts w:ascii="Tahoma" w:hAnsi="Tahoma" w:cs="Tahoma"/>
      <w:sz w:val="16"/>
      <w:szCs w:val="16"/>
    </w:rPr>
  </w:style>
  <w:style w:type="paragraph" w:styleId="Titel">
    <w:name w:val="Title"/>
    <w:basedOn w:val="Standard"/>
    <w:next w:val="Standard"/>
    <w:link w:val="TitelZchn"/>
    <w:uiPriority w:val="10"/>
    <w:qFormat/>
    <w:rsid w:val="00242CDC"/>
    <w:pPr>
      <w:spacing w:line="560" w:lineRule="exact"/>
    </w:pPr>
    <w:rPr>
      <w:b/>
      <w:sz w:val="56"/>
      <w:szCs w:val="56"/>
    </w:rPr>
  </w:style>
  <w:style w:type="character" w:customStyle="1" w:styleId="TitelZchn">
    <w:name w:val="Titel Zchn"/>
    <w:basedOn w:val="Absatz-Standardschriftart"/>
    <w:link w:val="Titel"/>
    <w:uiPriority w:val="10"/>
    <w:rsid w:val="00242CDC"/>
    <w:rPr>
      <w:b/>
      <w:sz w:val="56"/>
      <w:szCs w:val="56"/>
    </w:rPr>
  </w:style>
  <w:style w:type="character" w:customStyle="1" w:styleId="berschrift1Zchn">
    <w:name w:val="Überschrift 1 Zchn"/>
    <w:basedOn w:val="Absatz-Standardschriftart"/>
    <w:link w:val="berschrift1"/>
    <w:uiPriority w:val="9"/>
    <w:rsid w:val="0042275B"/>
    <w:rPr>
      <w:b/>
      <w:sz w:val="42"/>
      <w:szCs w:val="42"/>
    </w:rPr>
  </w:style>
  <w:style w:type="character" w:customStyle="1" w:styleId="berschrift2Zchn">
    <w:name w:val="Überschrift 2 Zchn"/>
    <w:basedOn w:val="Absatz-Standardschriftart"/>
    <w:link w:val="berschrift2"/>
    <w:uiPriority w:val="9"/>
    <w:rsid w:val="0042275B"/>
    <w:rPr>
      <w:sz w:val="36"/>
      <w:szCs w:val="36"/>
    </w:rPr>
  </w:style>
  <w:style w:type="character" w:customStyle="1" w:styleId="berschrift3Zchn">
    <w:name w:val="Überschrift 3 Zchn"/>
    <w:basedOn w:val="Absatz-Standardschriftart"/>
    <w:link w:val="berschrift3"/>
    <w:uiPriority w:val="9"/>
    <w:rsid w:val="0042275B"/>
    <w:rPr>
      <w:sz w:val="26"/>
      <w:szCs w:val="26"/>
    </w:rPr>
  </w:style>
  <w:style w:type="character" w:customStyle="1" w:styleId="berschrift4Zchn">
    <w:name w:val="Überschrift 4 Zchn"/>
    <w:basedOn w:val="Absatz-Standardschriftart"/>
    <w:link w:val="berschrift4"/>
    <w:uiPriority w:val="9"/>
    <w:rsid w:val="0042275B"/>
    <w:rPr>
      <w:b/>
      <w:sz w:val="24"/>
      <w:szCs w:val="22"/>
    </w:rPr>
  </w:style>
  <w:style w:type="character" w:customStyle="1" w:styleId="berschrift5Zchn">
    <w:name w:val="Überschrift 5 Zchn"/>
    <w:basedOn w:val="Absatz-Standardschriftart"/>
    <w:link w:val="berschrift5"/>
    <w:uiPriority w:val="9"/>
    <w:rsid w:val="0042275B"/>
    <w:rPr>
      <w:sz w:val="19"/>
      <w:szCs w:val="19"/>
    </w:rPr>
  </w:style>
  <w:style w:type="character" w:customStyle="1" w:styleId="berschrift6Zchn">
    <w:name w:val="Überschrift 6 Zchn"/>
    <w:basedOn w:val="Absatz-Standardschriftart"/>
    <w:link w:val="berschrift6"/>
    <w:uiPriority w:val="9"/>
    <w:rsid w:val="0042275B"/>
    <w:rPr>
      <w:b/>
      <w:sz w:val="17"/>
      <w:szCs w:val="17"/>
    </w:rPr>
  </w:style>
  <w:style w:type="character" w:customStyle="1" w:styleId="berschrift7Zchn">
    <w:name w:val="Überschrift 7 Zchn"/>
    <w:basedOn w:val="Absatz-Standardschriftart"/>
    <w:link w:val="berschrift7"/>
    <w:uiPriority w:val="9"/>
    <w:rsid w:val="0042275B"/>
    <w:rPr>
      <w:rFonts w:asciiTheme="majorHAnsi" w:eastAsiaTheme="majorEastAsia" w:hAnsiTheme="majorHAnsi" w:cstheme="majorBidi"/>
      <w:iCs/>
      <w:color w:val="404040" w:themeColor="text1" w:themeTint="BF"/>
      <w:sz w:val="12"/>
      <w:szCs w:val="12"/>
    </w:rPr>
  </w:style>
  <w:style w:type="character" w:customStyle="1" w:styleId="berschrift8Zchn">
    <w:name w:val="Überschrift 8 Zchn"/>
    <w:basedOn w:val="Absatz-Standardschriftart"/>
    <w:link w:val="berschrift8"/>
    <w:uiPriority w:val="9"/>
    <w:rsid w:val="00E91B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755D9E"/>
    <w:rPr>
      <w:rFonts w:asciiTheme="majorHAnsi" w:eastAsiaTheme="majorEastAsia" w:hAnsiTheme="majorHAnsi" w:cstheme="majorBidi"/>
      <w:i/>
      <w:iCs/>
      <w:color w:val="404040" w:themeColor="text1" w:themeTint="BF"/>
      <w:sz w:val="20"/>
      <w:szCs w:val="20"/>
    </w:rPr>
  </w:style>
  <w:style w:type="numbering" w:customStyle="1" w:styleId="IFBListenachDIN">
    <w:name w:val="IFB Liste nach DIN"/>
    <w:uiPriority w:val="99"/>
    <w:rsid w:val="00FD2296"/>
    <w:pPr>
      <w:numPr>
        <w:numId w:val="2"/>
      </w:numPr>
    </w:pPr>
  </w:style>
  <w:style w:type="paragraph" w:styleId="Listenabsatz">
    <w:name w:val="List Paragraph"/>
    <w:basedOn w:val="Standard"/>
    <w:link w:val="ListenabsatzZchn"/>
    <w:uiPriority w:val="34"/>
    <w:qFormat/>
    <w:rsid w:val="005A1441"/>
    <w:pPr>
      <w:spacing w:after="120"/>
      <w:ind w:left="680"/>
    </w:pPr>
  </w:style>
  <w:style w:type="paragraph" w:customStyle="1" w:styleId="l5">
    <w:name w:val="l 5"/>
    <w:basedOn w:val="Standard"/>
    <w:link w:val="l5Zchn"/>
    <w:rsid w:val="00A10D2D"/>
    <w:pPr>
      <w:numPr>
        <w:numId w:val="16"/>
      </w:numPr>
    </w:pPr>
  </w:style>
  <w:style w:type="paragraph" w:customStyle="1" w:styleId="Aufzhlung1">
    <w:name w:val="Aufzählung 1"/>
    <w:basedOn w:val="Listenabsatz"/>
    <w:link w:val="Aufzhlung1Zchn"/>
    <w:qFormat/>
    <w:rsid w:val="00E91B3B"/>
    <w:pPr>
      <w:numPr>
        <w:numId w:val="18"/>
      </w:numPr>
      <w:ind w:left="426"/>
    </w:pPr>
  </w:style>
  <w:style w:type="paragraph" w:customStyle="1" w:styleId="Flietext1">
    <w:name w:val="Fließtext 1"/>
    <w:basedOn w:val="berschrift5"/>
    <w:link w:val="Flietext1Zchn"/>
    <w:qFormat/>
    <w:rsid w:val="00A10D2D"/>
    <w:pPr>
      <w:spacing w:after="170"/>
    </w:pPr>
  </w:style>
  <w:style w:type="character" w:customStyle="1" w:styleId="l5Zchn">
    <w:name w:val="l 5 Zchn"/>
    <w:basedOn w:val="Absatz-Standardschriftart"/>
    <w:link w:val="l5"/>
    <w:rsid w:val="00A10D2D"/>
    <w:rPr>
      <w:sz w:val="22"/>
      <w:szCs w:val="22"/>
    </w:rPr>
  </w:style>
  <w:style w:type="character" w:customStyle="1" w:styleId="Aufzhlung1Zchn">
    <w:name w:val="Aufzählung 1 Zchn"/>
    <w:basedOn w:val="l5Zchn"/>
    <w:link w:val="Aufzhlung1"/>
    <w:rsid w:val="00E91B3B"/>
    <w:rPr>
      <w:sz w:val="24"/>
      <w:szCs w:val="22"/>
    </w:rPr>
  </w:style>
  <w:style w:type="character" w:customStyle="1" w:styleId="Flietext1Zchn">
    <w:name w:val="Fließtext 1 Zchn"/>
    <w:basedOn w:val="berschrift5Zchn"/>
    <w:link w:val="Flietext1"/>
    <w:rsid w:val="00A10D2D"/>
    <w:rPr>
      <w:sz w:val="19"/>
      <w:szCs w:val="19"/>
    </w:rPr>
  </w:style>
  <w:style w:type="character" w:styleId="Buchtitel">
    <w:name w:val="Book Title"/>
    <w:basedOn w:val="Absatz-Standardschriftart"/>
    <w:uiPriority w:val="33"/>
    <w:qFormat/>
    <w:rsid w:val="00E91B3B"/>
    <w:rPr>
      <w:b/>
      <w:bCs/>
      <w:smallCaps/>
      <w:spacing w:val="5"/>
    </w:rPr>
  </w:style>
  <w:style w:type="paragraph" w:customStyle="1" w:styleId="Aufzhlung2">
    <w:name w:val="Aufzählung 2"/>
    <w:basedOn w:val="Listenabsatz"/>
    <w:link w:val="Aufzhlung2Zchn"/>
    <w:qFormat/>
    <w:rsid w:val="00E91B3B"/>
    <w:pPr>
      <w:numPr>
        <w:numId w:val="20"/>
      </w:numPr>
      <w:ind w:left="357" w:hanging="357"/>
    </w:pPr>
  </w:style>
  <w:style w:type="numbering" w:customStyle="1" w:styleId="IFBAufzhlung1">
    <w:name w:val="IFB Aufzählung 1"/>
    <w:uiPriority w:val="99"/>
    <w:rsid w:val="00301C69"/>
    <w:pPr>
      <w:numPr>
        <w:numId w:val="21"/>
      </w:numPr>
    </w:pPr>
  </w:style>
  <w:style w:type="character" w:customStyle="1" w:styleId="ListenabsatzZchn">
    <w:name w:val="Listenabsatz Zchn"/>
    <w:basedOn w:val="Absatz-Standardschriftart"/>
    <w:link w:val="Listenabsatz"/>
    <w:uiPriority w:val="34"/>
    <w:rsid w:val="00E91B3B"/>
    <w:rPr>
      <w:sz w:val="24"/>
      <w:szCs w:val="22"/>
    </w:rPr>
  </w:style>
  <w:style w:type="character" w:customStyle="1" w:styleId="Aufzhlung2Zchn">
    <w:name w:val="Aufzählung 2 Zchn"/>
    <w:basedOn w:val="ListenabsatzZchn"/>
    <w:link w:val="Aufzhlung2"/>
    <w:rsid w:val="00E91B3B"/>
    <w:rPr>
      <w:sz w:val="24"/>
      <w:szCs w:val="22"/>
    </w:rPr>
  </w:style>
  <w:style w:type="numbering" w:customStyle="1" w:styleId="IFBAufzhlung2">
    <w:name w:val="IFB Aufzählung 2"/>
    <w:uiPriority w:val="99"/>
    <w:rsid w:val="00BB0409"/>
    <w:pPr>
      <w:numPr>
        <w:numId w:val="23"/>
      </w:numPr>
    </w:pPr>
  </w:style>
  <w:style w:type="numbering" w:customStyle="1" w:styleId="IFBAufzhlung3">
    <w:name w:val="IFB Aufzählung 3"/>
    <w:uiPriority w:val="99"/>
    <w:rsid w:val="00BB0409"/>
    <w:pPr>
      <w:numPr>
        <w:numId w:val="24"/>
      </w:numPr>
    </w:pPr>
  </w:style>
  <w:style w:type="paragraph" w:styleId="Inhaltsverzeichnisberschrift">
    <w:name w:val="TOC Heading"/>
    <w:next w:val="Standard"/>
    <w:uiPriority w:val="39"/>
    <w:unhideWhenUsed/>
    <w:qFormat/>
    <w:rsid w:val="009332EE"/>
    <w:pPr>
      <w:keepNext/>
      <w:keepLines/>
      <w:spacing w:before="480" w:line="276" w:lineRule="auto"/>
    </w:pPr>
    <w:rPr>
      <w:rFonts w:asciiTheme="majorHAnsi" w:eastAsiaTheme="majorEastAsia" w:hAnsiTheme="majorHAnsi" w:cstheme="majorBidi"/>
      <w:b/>
      <w:bCs/>
      <w:sz w:val="28"/>
      <w:szCs w:val="28"/>
      <w:lang w:eastAsia="de-DE"/>
    </w:rPr>
  </w:style>
  <w:style w:type="paragraph" w:styleId="Verzeichnis1">
    <w:name w:val="toc 1"/>
    <w:basedOn w:val="Standard"/>
    <w:next w:val="Standard"/>
    <w:autoRedefine/>
    <w:uiPriority w:val="39"/>
    <w:unhideWhenUsed/>
    <w:qFormat/>
    <w:rsid w:val="009332EE"/>
    <w:pPr>
      <w:tabs>
        <w:tab w:val="right" w:pos="9062"/>
      </w:tabs>
      <w:spacing w:before="200" w:after="120"/>
    </w:pPr>
    <w:rPr>
      <w:rFonts w:cstheme="minorHAnsi"/>
      <w:b/>
      <w:bCs/>
      <w:caps/>
      <w:color w:val="EE7F00" w:themeColor="accent4"/>
      <w:sz w:val="20"/>
      <w:szCs w:val="20"/>
    </w:rPr>
  </w:style>
  <w:style w:type="paragraph" w:styleId="Verzeichnis2">
    <w:name w:val="toc 2"/>
    <w:basedOn w:val="Standard"/>
    <w:next w:val="Standard"/>
    <w:autoRedefine/>
    <w:uiPriority w:val="39"/>
    <w:unhideWhenUsed/>
    <w:qFormat/>
    <w:rsid w:val="009332EE"/>
    <w:pPr>
      <w:tabs>
        <w:tab w:val="right" w:leader="dot" w:pos="9062"/>
      </w:tabs>
    </w:pPr>
    <w:rPr>
      <w:rFonts w:cstheme="minorHAnsi"/>
      <w:noProof/>
      <w:sz w:val="20"/>
      <w:szCs w:val="20"/>
    </w:rPr>
  </w:style>
  <w:style w:type="character" w:styleId="Hyperlink">
    <w:name w:val="Hyperlink"/>
    <w:basedOn w:val="Absatz-Standardschriftart"/>
    <w:uiPriority w:val="99"/>
    <w:unhideWhenUsed/>
    <w:rsid w:val="009332EE"/>
    <w:rPr>
      <w:color w:val="000000" w:themeColor="hyperlink"/>
      <w:u w:val="single"/>
    </w:rPr>
  </w:style>
  <w:style w:type="table" w:styleId="Tabellenraster">
    <w:name w:val="Table Grid"/>
    <w:basedOn w:val="NormaleTabelle"/>
    <w:uiPriority w:val="59"/>
    <w:rsid w:val="00C760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4">
    <w:name w:val="Tab 4"/>
    <w:basedOn w:val="FarbigeListe-Akzent4"/>
    <w:uiPriority w:val="99"/>
    <w:rsid w:val="009E4E91"/>
    <w:rPr>
      <w:sz w:val="22"/>
      <w:szCs w:val="20"/>
      <w:lang w:eastAsia="de-DE"/>
    </w:rPr>
    <w:tblPr/>
    <w:tcPr>
      <w:shd w:val="clear" w:color="auto" w:fill="FFFFFF" w:themeFill="background1"/>
    </w:tcPr>
    <w:tblStylePr w:type="firstRow">
      <w:rPr>
        <w:b/>
        <w:bCs/>
        <w:color w:val="auto"/>
      </w:rPr>
      <w:tblPr/>
      <w:tcPr>
        <w:tcBorders>
          <w:top w:val="nil"/>
          <w:left w:val="nil"/>
          <w:bottom w:val="nil"/>
          <w:right w:val="nil"/>
          <w:insideH w:val="nil"/>
          <w:insideV w:val="nil"/>
          <w:tl2br w:val="nil"/>
          <w:tr2bl w:val="nil"/>
        </w:tcBorders>
        <w:shd w:val="clear" w:color="auto" w:fill="EE7F00" w:themeFill="accent4"/>
      </w:tcPr>
    </w:tblStylePr>
    <w:tblStylePr w:type="lastRow">
      <w:rPr>
        <w:b/>
        <w:bCs/>
        <w:color w:val="B6AA9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rPr>
        <w:color w:val="auto"/>
      </w:rPr>
      <w:tblPr/>
      <w:tcPr>
        <w:tcBorders>
          <w:top w:val="nil"/>
          <w:left w:val="nil"/>
          <w:bottom w:val="nil"/>
          <w:right w:val="nil"/>
          <w:insideH w:val="nil"/>
          <w:insideV w:val="nil"/>
        </w:tcBorders>
        <w:shd w:val="clear" w:color="auto" w:fill="D9D3C9" w:themeFill="accent3"/>
      </w:tcPr>
    </w:tblStylePr>
    <w:tblStylePr w:type="band2Vert">
      <w:rPr>
        <w:color w:val="FFFFFF" w:themeColor="background1"/>
      </w:rPr>
      <w:tblPr/>
      <w:tcPr>
        <w:shd w:val="clear" w:color="auto" w:fill="FFFFFF" w:themeFill="background1"/>
      </w:tcPr>
    </w:tblStylePr>
    <w:tblStylePr w:type="band1Horz">
      <w:tblPr/>
      <w:tcPr>
        <w:shd w:val="clear" w:color="auto" w:fill="D9D3C9" w:themeFill="accent3"/>
      </w:tcPr>
    </w:tblStylePr>
    <w:tblStylePr w:type="band2Horz">
      <w:rPr>
        <w:color w:val="auto"/>
      </w:rPr>
      <w:tblPr/>
      <w:tcPr>
        <w:shd w:val="clear" w:color="auto" w:fill="FFFFFF" w:themeFill="background1"/>
      </w:tcPr>
    </w:tblStylePr>
  </w:style>
  <w:style w:type="table" w:styleId="FarbigeListe-Akzent4">
    <w:name w:val="Colorful List Accent 4"/>
    <w:basedOn w:val="NormaleTabelle"/>
    <w:uiPriority w:val="72"/>
    <w:rsid w:val="009E4E91"/>
    <w:pPr>
      <w:spacing w:line="240" w:lineRule="auto"/>
    </w:pPr>
    <w:rPr>
      <w:color w:val="000000" w:themeColor="text1"/>
    </w:rPr>
    <w:tblPr>
      <w:tblStyleRowBandSize w:val="1"/>
      <w:tblStyleColBandSize w:val="1"/>
    </w:tblPr>
    <w:tcPr>
      <w:shd w:val="clear" w:color="auto" w:fill="FFF2E4" w:themeFill="accent4" w:themeFillTint="19"/>
    </w:tcPr>
    <w:tblStylePr w:type="firstRow">
      <w:rPr>
        <w:b/>
        <w:bCs/>
        <w:color w:val="FFFFFF" w:themeColor="background1"/>
      </w:rPr>
      <w:tblPr/>
      <w:tcPr>
        <w:tcBorders>
          <w:bottom w:val="single" w:sz="12" w:space="0" w:color="FFFFFF" w:themeColor="background1"/>
        </w:tcBorders>
        <w:shd w:val="clear" w:color="auto" w:fill="B6AA97" w:themeFill="accent3" w:themeFillShade="CC"/>
      </w:tcPr>
    </w:tblStylePr>
    <w:tblStylePr w:type="lastRow">
      <w:rPr>
        <w:b/>
        <w:bCs/>
        <w:color w:val="B6AA9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B" w:themeFill="accent4" w:themeFillTint="3F"/>
      </w:tcPr>
    </w:tblStylePr>
    <w:tblStylePr w:type="band1Horz">
      <w:tblPr/>
      <w:tcPr>
        <w:shd w:val="clear" w:color="auto" w:fill="FFE5C8" w:themeFill="accent4" w:themeFillTint="33"/>
      </w:tcPr>
    </w:tblStylePr>
  </w:style>
  <w:style w:type="table" w:customStyle="1" w:styleId="Tab5">
    <w:name w:val="Tab 5"/>
    <w:basedOn w:val="MittlereSchattierung1-Akzent1"/>
    <w:uiPriority w:val="99"/>
    <w:rsid w:val="009E4E91"/>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CD042E" w:themeFill="accent1"/>
      </w:tcPr>
    </w:tblStylePr>
    <w:tblStylePr w:type="lastRow">
      <w:pPr>
        <w:spacing w:before="0" w:after="0" w:line="240" w:lineRule="auto"/>
      </w:pPr>
      <w:rPr>
        <w:b/>
        <w:bCs/>
      </w:rPr>
      <w:tblPr/>
      <w:tcPr>
        <w:tcBorders>
          <w:top w:val="double" w:sz="6" w:space="0" w:color="FA214E" w:themeColor="accent1" w:themeTint="BF"/>
          <w:left w:val="single" w:sz="8" w:space="0" w:color="FA214E" w:themeColor="accent1" w:themeTint="BF"/>
          <w:bottom w:val="single" w:sz="8" w:space="0" w:color="FA214E" w:themeColor="accent1" w:themeTint="BF"/>
          <w:right w:val="single" w:sz="8" w:space="0" w:color="FA214E" w:themeColor="accent1" w:themeTint="BF"/>
          <w:insideH w:val="nil"/>
          <w:insideV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9D3C9" w:themeFill="accent3"/>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D9D3C9" w:themeFill="accent3"/>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table" w:styleId="MittlereSchattierung1-Akzent1">
    <w:name w:val="Medium Shading 1 Accent 1"/>
    <w:basedOn w:val="NormaleTabelle"/>
    <w:uiPriority w:val="63"/>
    <w:rsid w:val="009E4E91"/>
    <w:pPr>
      <w:spacing w:line="240" w:lineRule="auto"/>
    </w:pPr>
    <w:tblPr>
      <w:tblStyleRowBandSize w:val="1"/>
      <w:tblStyleColBandSize w:val="1"/>
      <w:tblBorders>
        <w:top w:val="single" w:sz="8" w:space="0" w:color="FA214E" w:themeColor="accent1" w:themeTint="BF"/>
        <w:left w:val="single" w:sz="8" w:space="0" w:color="FA214E" w:themeColor="accent1" w:themeTint="BF"/>
        <w:bottom w:val="single" w:sz="8" w:space="0" w:color="FA214E" w:themeColor="accent1" w:themeTint="BF"/>
        <w:right w:val="single" w:sz="8" w:space="0" w:color="FA214E" w:themeColor="accent1" w:themeTint="BF"/>
        <w:insideH w:val="single" w:sz="8" w:space="0" w:color="FA214E" w:themeColor="accent1" w:themeTint="BF"/>
      </w:tblBorders>
    </w:tblPr>
    <w:tblStylePr w:type="firstRow">
      <w:pPr>
        <w:spacing w:before="0" w:after="0" w:line="240" w:lineRule="auto"/>
      </w:pPr>
      <w:rPr>
        <w:b/>
        <w:bCs/>
        <w:color w:val="FFFFFF" w:themeColor="background1"/>
      </w:rPr>
      <w:tblPr/>
      <w:tcPr>
        <w:tcBorders>
          <w:top w:val="single" w:sz="8" w:space="0" w:color="FA214E" w:themeColor="accent1" w:themeTint="BF"/>
          <w:left w:val="single" w:sz="8" w:space="0" w:color="FA214E" w:themeColor="accent1" w:themeTint="BF"/>
          <w:bottom w:val="single" w:sz="8" w:space="0" w:color="FA214E" w:themeColor="accent1" w:themeTint="BF"/>
          <w:right w:val="single" w:sz="8" w:space="0" w:color="FA214E" w:themeColor="accent1" w:themeTint="BF"/>
          <w:insideH w:val="nil"/>
          <w:insideV w:val="nil"/>
        </w:tcBorders>
        <w:shd w:val="clear" w:color="auto" w:fill="CD042E" w:themeFill="accent1"/>
      </w:tcPr>
    </w:tblStylePr>
    <w:tblStylePr w:type="lastRow">
      <w:pPr>
        <w:spacing w:before="0" w:after="0" w:line="240" w:lineRule="auto"/>
      </w:pPr>
      <w:rPr>
        <w:b/>
        <w:bCs/>
      </w:rPr>
      <w:tblPr/>
      <w:tcPr>
        <w:tcBorders>
          <w:top w:val="double" w:sz="6" w:space="0" w:color="FA214E" w:themeColor="accent1" w:themeTint="BF"/>
          <w:left w:val="single" w:sz="8" w:space="0" w:color="FA214E" w:themeColor="accent1" w:themeTint="BF"/>
          <w:bottom w:val="single" w:sz="8" w:space="0" w:color="FA214E" w:themeColor="accent1" w:themeTint="BF"/>
          <w:right w:val="single" w:sz="8" w:space="0" w:color="FA21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B5C4" w:themeFill="accent1" w:themeFillTint="3F"/>
      </w:tcPr>
    </w:tblStylePr>
    <w:tblStylePr w:type="band1Horz">
      <w:tblPr/>
      <w:tcPr>
        <w:tcBorders>
          <w:insideH w:val="nil"/>
          <w:insideV w:val="nil"/>
        </w:tcBorders>
        <w:shd w:val="clear" w:color="auto" w:fill="FDB5C4" w:themeFill="accent1" w:themeFillTint="3F"/>
      </w:tcPr>
    </w:tblStylePr>
    <w:tblStylePr w:type="band2Horz">
      <w:tblPr/>
      <w:tcPr>
        <w:tcBorders>
          <w:insideH w:val="nil"/>
          <w:insideV w:val="nil"/>
        </w:tcBorders>
      </w:tcPr>
    </w:tblStylePr>
  </w:style>
  <w:style w:type="table" w:customStyle="1" w:styleId="tab1">
    <w:name w:val="tab1"/>
    <w:basedOn w:val="NormaleTabelle"/>
    <w:uiPriority w:val="99"/>
    <w:rsid w:val="009E4E91"/>
    <w:pPr>
      <w:spacing w:line="240" w:lineRule="auto"/>
    </w:pPr>
    <w:tblPr>
      <w:tblStyleRowBandSize w:val="1"/>
      <w:tblStyleColBandSize w:val="1"/>
      <w:tblBorders>
        <w:top w:val="single" w:sz="6" w:space="0" w:color="CD042E" w:themeColor="accent1"/>
        <w:left w:val="single" w:sz="6" w:space="0" w:color="CD042E" w:themeColor="accent1"/>
        <w:bottom w:val="single" w:sz="6" w:space="0" w:color="CD042E" w:themeColor="accent1"/>
        <w:right w:val="single" w:sz="6" w:space="0" w:color="CD042E" w:themeColor="accent1"/>
      </w:tblBorders>
    </w:tblPr>
    <w:tblStylePr w:type="firstRow">
      <w:pPr>
        <w:jc w:val="center"/>
      </w:pPr>
      <w:rPr>
        <w:rFonts w:asciiTheme="minorHAnsi" w:hAnsiTheme="minorHAnsi"/>
        <w:b/>
        <w:color w:val="FFFFFF" w:themeColor="background1"/>
        <w:sz w:val="21"/>
      </w:rPr>
      <w:tblPr/>
      <w:tcPr>
        <w:tcBorders>
          <w:top w:val="single" w:sz="6" w:space="0" w:color="CD042E" w:themeColor="accent1"/>
          <w:left w:val="single" w:sz="6" w:space="0" w:color="CD042E" w:themeColor="accent1"/>
          <w:bottom w:val="single" w:sz="6" w:space="0" w:color="CD042E" w:themeColor="accent1"/>
          <w:right w:val="single" w:sz="6" w:space="0" w:color="CD042E" w:themeColor="accent1"/>
          <w:insideH w:val="single" w:sz="6" w:space="0" w:color="FFFFFF" w:themeColor="background1"/>
          <w:insideV w:val="single" w:sz="6" w:space="0" w:color="FFFFFF" w:themeColor="background1"/>
          <w:tl2br w:val="nil"/>
          <w:tr2bl w:val="nil"/>
        </w:tcBorders>
        <w:shd w:val="clear" w:color="auto" w:fill="CD042E" w:themeFill="accent1"/>
      </w:tcPr>
    </w:tblStylePr>
    <w:tblStylePr w:type="lastRow">
      <w:pPr>
        <w:jc w:val="center"/>
      </w:pPr>
      <w:rPr>
        <w:rFonts w:ascii="Arial" w:hAnsi="Arial"/>
        <w:b/>
        <w:color w:val="FFFFFF" w:themeColor="background1"/>
        <w:sz w:val="21"/>
      </w:rPr>
      <w:tblPr/>
      <w:tcPr>
        <w:tcBorders>
          <w:top w:val="single" w:sz="6" w:space="0" w:color="CD042E" w:themeColor="accent1"/>
          <w:left w:val="single" w:sz="6" w:space="0" w:color="CD042E" w:themeColor="accent1"/>
          <w:bottom w:val="single" w:sz="6" w:space="0" w:color="CD042E" w:themeColor="accent1"/>
          <w:right w:val="single" w:sz="6" w:space="0" w:color="CD042E" w:themeColor="accent1"/>
          <w:insideH w:val="single" w:sz="6" w:space="0" w:color="FFFFFF" w:themeColor="background1"/>
          <w:insideV w:val="single" w:sz="6" w:space="0" w:color="FFFFFF" w:themeColor="background1"/>
          <w:tl2br w:val="nil"/>
          <w:tr2bl w:val="nil"/>
        </w:tcBorders>
        <w:shd w:val="clear" w:color="auto" w:fill="CD042E" w:themeFill="accent1"/>
      </w:tcPr>
    </w:tblStylePr>
    <w:tblStylePr w:type="firstCol">
      <w:rPr>
        <w:rFonts w:ascii="Arial" w:hAnsi="Arial"/>
        <w:sz w:val="21"/>
      </w:rPr>
      <w:tblPr/>
      <w:tcPr>
        <w:tcBorders>
          <w:insideH w:val="single" w:sz="4" w:space="0" w:color="FFFFFF" w:themeColor="background1"/>
          <w:insideV w:val="single" w:sz="4" w:space="0" w:color="FFFFFF" w:themeColor="background1"/>
        </w:tcBorders>
        <w:shd w:val="clear" w:color="auto" w:fill="D9D3C9" w:themeFill="accent3"/>
      </w:tcPr>
    </w:tblStylePr>
    <w:tblStylePr w:type="lastCol">
      <w:pPr>
        <w:jc w:val="left"/>
      </w:pPr>
      <w:rPr>
        <w:rFonts w:ascii="Arial" w:hAnsi="Arial"/>
        <w:color w:val="auto"/>
        <w:sz w:val="21"/>
      </w:rPr>
      <w:tblPr/>
      <w:tcPr>
        <w:tcBorders>
          <w:insideH w:val="single" w:sz="4" w:space="0" w:color="FFFFFF" w:themeColor="background1"/>
          <w:insideV w:val="single" w:sz="4" w:space="0" w:color="FFFFFF" w:themeColor="background1"/>
        </w:tcBorders>
        <w:shd w:val="clear" w:color="auto" w:fill="D9D3C9" w:themeFill="accent3"/>
        <w:vAlign w:val="center"/>
      </w:tcPr>
    </w:tblStylePr>
    <w:tblStylePr w:type="band1Vert">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tblStylePr w:type="band2Vert">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tblStylePr w:type="band1Horz">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tblStylePr w:type="band2Horz">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style>
  <w:style w:type="table" w:customStyle="1" w:styleId="tab1zentiert">
    <w:name w:val="tab1_zentiert"/>
    <w:basedOn w:val="tab1"/>
    <w:uiPriority w:val="99"/>
    <w:rsid w:val="009E4E91"/>
    <w:pPr>
      <w:jc w:val="center"/>
    </w:pPr>
    <w:tblPr/>
    <w:tblStylePr w:type="firstRow">
      <w:pPr>
        <w:jc w:val="center"/>
      </w:pPr>
      <w:rPr>
        <w:rFonts w:asciiTheme="minorHAnsi" w:hAnsiTheme="minorHAnsi"/>
        <w:b/>
        <w:color w:val="FFFFFF" w:themeColor="background1"/>
        <w:sz w:val="21"/>
      </w:rPr>
      <w:tblPr/>
      <w:tcPr>
        <w:tcBorders>
          <w:top w:val="single" w:sz="6" w:space="0" w:color="CD042E" w:themeColor="accent1"/>
          <w:left w:val="single" w:sz="6" w:space="0" w:color="CD042E" w:themeColor="accent1"/>
          <w:bottom w:val="single" w:sz="6" w:space="0" w:color="CD042E" w:themeColor="accent1"/>
          <w:right w:val="single" w:sz="6" w:space="0" w:color="CD042E" w:themeColor="accent1"/>
          <w:insideH w:val="single" w:sz="6" w:space="0" w:color="FFFFFF" w:themeColor="background1"/>
          <w:insideV w:val="single" w:sz="6" w:space="0" w:color="FFFFFF" w:themeColor="background1"/>
          <w:tl2br w:val="nil"/>
          <w:tr2bl w:val="nil"/>
        </w:tcBorders>
        <w:shd w:val="clear" w:color="auto" w:fill="CD042E" w:themeFill="accent1"/>
      </w:tcPr>
    </w:tblStylePr>
    <w:tblStylePr w:type="lastRow">
      <w:pPr>
        <w:jc w:val="center"/>
      </w:pPr>
      <w:rPr>
        <w:rFonts w:ascii="Arial" w:hAnsi="Arial"/>
        <w:b/>
        <w:color w:val="FFFFFF" w:themeColor="background1"/>
        <w:sz w:val="21"/>
      </w:rPr>
      <w:tblPr/>
      <w:tcPr>
        <w:tcBorders>
          <w:top w:val="single" w:sz="6" w:space="0" w:color="CD042E" w:themeColor="accent1"/>
          <w:left w:val="single" w:sz="6" w:space="0" w:color="CD042E" w:themeColor="accent1"/>
          <w:bottom w:val="single" w:sz="6" w:space="0" w:color="CD042E" w:themeColor="accent1"/>
          <w:right w:val="single" w:sz="6" w:space="0" w:color="CD042E" w:themeColor="accent1"/>
          <w:insideH w:val="single" w:sz="6" w:space="0" w:color="FFFFFF" w:themeColor="background1"/>
          <w:insideV w:val="single" w:sz="6" w:space="0" w:color="FFFFFF" w:themeColor="background1"/>
          <w:tl2br w:val="nil"/>
          <w:tr2bl w:val="nil"/>
        </w:tcBorders>
        <w:shd w:val="clear" w:color="auto" w:fill="CD042E" w:themeFill="accent1"/>
      </w:tcPr>
    </w:tblStylePr>
    <w:tblStylePr w:type="firstCol">
      <w:rPr>
        <w:rFonts w:ascii="Arial" w:hAnsi="Arial"/>
        <w:sz w:val="21"/>
      </w:rPr>
      <w:tblPr/>
      <w:tcPr>
        <w:tcBorders>
          <w:insideH w:val="single" w:sz="4" w:space="0" w:color="FFFFFF" w:themeColor="background1"/>
          <w:insideV w:val="single" w:sz="4" w:space="0" w:color="FFFFFF" w:themeColor="background1"/>
        </w:tcBorders>
        <w:shd w:val="clear" w:color="auto" w:fill="D9D3C9" w:themeFill="accent3"/>
      </w:tcPr>
    </w:tblStylePr>
    <w:tblStylePr w:type="lastCol">
      <w:pPr>
        <w:jc w:val="center"/>
      </w:pPr>
      <w:rPr>
        <w:rFonts w:ascii="Arial" w:hAnsi="Arial"/>
        <w:color w:val="auto"/>
        <w:sz w:val="21"/>
      </w:rPr>
      <w:tblPr/>
      <w:tcPr>
        <w:tcBorders>
          <w:insideH w:val="single" w:sz="4" w:space="0" w:color="FFFFFF" w:themeColor="background1"/>
          <w:insideV w:val="single" w:sz="4" w:space="0" w:color="FFFFFF" w:themeColor="background1"/>
        </w:tcBorders>
        <w:shd w:val="clear" w:color="auto" w:fill="D9D3C9" w:themeFill="accent3"/>
        <w:vAlign w:val="center"/>
      </w:tcPr>
    </w:tblStylePr>
    <w:tblStylePr w:type="band1Vert">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tblStylePr w:type="band2Vert">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tblStylePr w:type="band1Horz">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tblStylePr w:type="band2Horz">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tcPr>
    </w:tblStylePr>
  </w:style>
  <w:style w:type="table" w:customStyle="1" w:styleId="tab2">
    <w:name w:val="tab2"/>
    <w:basedOn w:val="NormaleTabelle"/>
    <w:uiPriority w:val="99"/>
    <w:rsid w:val="009E4E91"/>
    <w:pPr>
      <w:spacing w:line="240" w:lineRule="auto"/>
    </w:pPr>
    <w:tblPr>
      <w:tblStyleRowBandSize w:val="1"/>
      <w:tblStyleColBandSize w:val="1"/>
      <w:tblBorders>
        <w:top w:val="single" w:sz="6" w:space="0" w:color="555555" w:themeColor="accent2"/>
        <w:left w:val="single" w:sz="6" w:space="0" w:color="555555" w:themeColor="accent2"/>
        <w:bottom w:val="single" w:sz="6" w:space="0" w:color="555555" w:themeColor="accent2"/>
        <w:right w:val="single" w:sz="6" w:space="0" w:color="555555" w:themeColor="accent2"/>
        <w:insideH w:val="single" w:sz="6" w:space="0" w:color="555555" w:themeColor="accent2"/>
        <w:insideV w:val="single" w:sz="6" w:space="0" w:color="555555" w:themeColor="accent2"/>
      </w:tblBorders>
    </w:tblPr>
    <w:tblStylePr w:type="firstRow">
      <w:rPr>
        <w:b/>
        <w:color w:val="FFFFFF" w:themeColor="background1"/>
      </w:rPr>
      <w:tblPr/>
      <w:tcPr>
        <w:tcBorders>
          <w:top w:val="single" w:sz="6" w:space="0" w:color="555555" w:themeColor="accent2"/>
          <w:left w:val="single" w:sz="6" w:space="0" w:color="555555" w:themeColor="accent2"/>
          <w:bottom w:val="single" w:sz="6" w:space="0" w:color="555555" w:themeColor="accent2"/>
          <w:right w:val="single" w:sz="6" w:space="0" w:color="555555" w:themeColor="accent2"/>
          <w:insideH w:val="single" w:sz="6" w:space="0" w:color="FFFFFF" w:themeColor="background1"/>
          <w:insideV w:val="single" w:sz="6" w:space="0" w:color="FFFFFF" w:themeColor="background1"/>
          <w:tl2br w:val="nil"/>
          <w:tr2bl w:val="nil"/>
        </w:tcBorders>
        <w:shd w:val="clear" w:color="auto" w:fill="555555" w:themeFill="accent2"/>
      </w:tcPr>
    </w:tblStylePr>
    <w:tblStylePr w:type="firstCol">
      <w:rPr>
        <w:color w:val="auto"/>
      </w:rPr>
      <w:tblPr/>
      <w:tcPr>
        <w:tcBorders>
          <w:insideH w:val="single" w:sz="6" w:space="0" w:color="555555" w:themeColor="accent2"/>
          <w:insideV w:val="single" w:sz="6" w:space="0" w:color="555555" w:themeColor="accent2"/>
        </w:tcBorders>
      </w:tcPr>
    </w:tblStylePr>
    <w:tblStylePr w:type="lastCol">
      <w:tblPr/>
      <w:tcPr>
        <w:tcBorders>
          <w:insideH w:val="single" w:sz="6" w:space="0" w:color="555555" w:themeColor="accent2"/>
          <w:insideV w:val="single" w:sz="6" w:space="0" w:color="555555" w:themeColor="accent2"/>
        </w:tcBorders>
      </w:tcPr>
    </w:tblStylePr>
    <w:tblStylePr w:type="band1Vert">
      <w:tblPr/>
      <w:tcPr>
        <w:tcBorders>
          <w:insideH w:val="single" w:sz="6" w:space="0" w:color="555555" w:themeColor="accent2"/>
          <w:insideV w:val="single" w:sz="6" w:space="0" w:color="555555" w:themeColor="accent2"/>
        </w:tcBorders>
      </w:tcPr>
    </w:tblStylePr>
    <w:tblStylePr w:type="band2Vert">
      <w:tblPr/>
      <w:tcPr>
        <w:tcBorders>
          <w:insideH w:val="single" w:sz="6" w:space="0" w:color="555555" w:themeColor="accent2"/>
          <w:insideV w:val="single" w:sz="6" w:space="0" w:color="555555" w:themeColor="accent2"/>
        </w:tcBorders>
      </w:tcPr>
    </w:tblStylePr>
    <w:tblStylePr w:type="band1Horz">
      <w:tblPr/>
      <w:tcPr>
        <w:tcBorders>
          <w:insideH w:val="single" w:sz="6" w:space="0" w:color="555555" w:themeColor="accent2"/>
          <w:insideV w:val="single" w:sz="6" w:space="0" w:color="555555" w:themeColor="accent2"/>
        </w:tcBorders>
      </w:tcPr>
    </w:tblStylePr>
    <w:tblStylePr w:type="band2Horz">
      <w:tblPr/>
      <w:tcPr>
        <w:tcBorders>
          <w:insideH w:val="single" w:sz="6" w:space="0" w:color="555555" w:themeColor="accent2"/>
          <w:insideV w:val="single" w:sz="6" w:space="0" w:color="555555" w:themeColor="accent2"/>
        </w:tcBorders>
      </w:tcPr>
    </w:tblStylePr>
  </w:style>
  <w:style w:type="table" w:customStyle="1" w:styleId="tab2zentriert">
    <w:name w:val="tab2_zentriert"/>
    <w:basedOn w:val="tab2"/>
    <w:uiPriority w:val="99"/>
    <w:rsid w:val="009E4E91"/>
    <w:pPr>
      <w:jc w:val="center"/>
    </w:pPr>
    <w:tblPr/>
    <w:tblStylePr w:type="firstRow">
      <w:rPr>
        <w:b/>
        <w:color w:val="FFFFFF" w:themeColor="background1"/>
      </w:rPr>
      <w:tblPr/>
      <w:tcPr>
        <w:tcBorders>
          <w:top w:val="single" w:sz="6" w:space="0" w:color="555555" w:themeColor="accent2"/>
          <w:left w:val="single" w:sz="6" w:space="0" w:color="555555" w:themeColor="accent2"/>
          <w:bottom w:val="single" w:sz="6" w:space="0" w:color="555555" w:themeColor="accent2"/>
          <w:right w:val="single" w:sz="6" w:space="0" w:color="555555" w:themeColor="accent2"/>
          <w:insideH w:val="single" w:sz="6" w:space="0" w:color="FFFFFF" w:themeColor="background1"/>
          <w:insideV w:val="single" w:sz="6" w:space="0" w:color="FFFFFF" w:themeColor="background1"/>
          <w:tl2br w:val="nil"/>
          <w:tr2bl w:val="nil"/>
        </w:tcBorders>
        <w:shd w:val="clear" w:color="auto" w:fill="555555" w:themeFill="accent2"/>
      </w:tcPr>
    </w:tblStylePr>
    <w:tblStylePr w:type="firstCol">
      <w:rPr>
        <w:color w:val="auto"/>
      </w:rPr>
      <w:tblPr/>
      <w:tcPr>
        <w:tcBorders>
          <w:insideH w:val="single" w:sz="6" w:space="0" w:color="555555" w:themeColor="accent2"/>
          <w:insideV w:val="single" w:sz="6" w:space="0" w:color="555555" w:themeColor="accent2"/>
        </w:tcBorders>
      </w:tcPr>
    </w:tblStylePr>
    <w:tblStylePr w:type="lastCol">
      <w:tblPr/>
      <w:tcPr>
        <w:tcBorders>
          <w:insideH w:val="single" w:sz="6" w:space="0" w:color="555555" w:themeColor="accent2"/>
          <w:insideV w:val="single" w:sz="6" w:space="0" w:color="555555" w:themeColor="accent2"/>
        </w:tcBorders>
      </w:tcPr>
    </w:tblStylePr>
    <w:tblStylePr w:type="band1Vert">
      <w:tblPr/>
      <w:tcPr>
        <w:tcBorders>
          <w:insideH w:val="single" w:sz="6" w:space="0" w:color="555555" w:themeColor="accent2"/>
          <w:insideV w:val="single" w:sz="6" w:space="0" w:color="555555" w:themeColor="accent2"/>
        </w:tcBorders>
      </w:tcPr>
    </w:tblStylePr>
    <w:tblStylePr w:type="band2Vert">
      <w:tblPr/>
      <w:tcPr>
        <w:tcBorders>
          <w:insideH w:val="single" w:sz="6" w:space="0" w:color="555555" w:themeColor="accent2"/>
          <w:insideV w:val="single" w:sz="6" w:space="0" w:color="555555" w:themeColor="accent2"/>
        </w:tcBorders>
      </w:tcPr>
    </w:tblStylePr>
    <w:tblStylePr w:type="band1Horz">
      <w:tblPr/>
      <w:tcPr>
        <w:tcBorders>
          <w:insideH w:val="single" w:sz="6" w:space="0" w:color="555555" w:themeColor="accent2"/>
          <w:insideV w:val="single" w:sz="6" w:space="0" w:color="555555" w:themeColor="accent2"/>
        </w:tcBorders>
      </w:tcPr>
    </w:tblStylePr>
    <w:tblStylePr w:type="band2Horz">
      <w:tblPr/>
      <w:tcPr>
        <w:tcBorders>
          <w:insideH w:val="single" w:sz="6" w:space="0" w:color="555555" w:themeColor="accent2"/>
          <w:insideV w:val="single" w:sz="6" w:space="0" w:color="555555" w:themeColor="accent2"/>
        </w:tcBorders>
      </w:tcPr>
    </w:tblStylePr>
  </w:style>
  <w:style w:type="table" w:customStyle="1" w:styleId="tab3">
    <w:name w:val="tab3"/>
    <w:basedOn w:val="NormaleTabelle"/>
    <w:uiPriority w:val="99"/>
    <w:rsid w:val="009E4E91"/>
    <w:pPr>
      <w:spacing w:line="240" w:lineRule="auto"/>
    </w:pPr>
    <w:tblPr>
      <w:tblBorders>
        <w:top w:val="single" w:sz="6" w:space="0" w:color="CD042E" w:themeColor="accent1"/>
        <w:left w:val="single" w:sz="6" w:space="0" w:color="CD042E" w:themeColor="accent1"/>
        <w:bottom w:val="single" w:sz="6" w:space="0" w:color="CD042E" w:themeColor="accent1"/>
        <w:right w:val="single" w:sz="6" w:space="0" w:color="CD042E" w:themeColor="accent1"/>
        <w:insideH w:val="single" w:sz="6" w:space="0" w:color="CD042E" w:themeColor="accent1"/>
        <w:insideV w:val="single" w:sz="6" w:space="0" w:color="CD042E" w:themeColor="accent1"/>
      </w:tblBorders>
    </w:tblPr>
    <w:tblStylePr w:type="firstRow">
      <w:pPr>
        <w:jc w:val="left"/>
      </w:pPr>
      <w:rPr>
        <w:color w:val="FFFFFF" w:themeColor="background1"/>
      </w:rPr>
      <w:tblPr/>
      <w:tcPr>
        <w:tcBorders>
          <w:insideH w:val="single" w:sz="6" w:space="0" w:color="FFFFFF" w:themeColor="background1"/>
          <w:insideV w:val="single" w:sz="6" w:space="0" w:color="FFFFFF" w:themeColor="background1"/>
        </w:tcBorders>
        <w:shd w:val="clear" w:color="auto" w:fill="CD042E" w:themeFill="accent1"/>
      </w:tcPr>
    </w:tblStylePr>
    <w:tblStylePr w:type="firstCol">
      <w:pPr>
        <w:jc w:val="left"/>
      </w:pPr>
      <w:tblPr/>
      <w:tcPr>
        <w:shd w:val="clear" w:color="auto" w:fill="EEECE1" w:themeFill="background2"/>
        <w:vAlign w:val="center"/>
      </w:tcPr>
    </w:tblStylePr>
  </w:style>
  <w:style w:type="table" w:customStyle="1" w:styleId="tab3zentriert">
    <w:name w:val="tab3_zentriert"/>
    <w:basedOn w:val="HelleListe"/>
    <w:uiPriority w:val="99"/>
    <w:rsid w:val="009E4E91"/>
    <w:pPr>
      <w:jc w:val="center"/>
    </w:pPr>
    <w:tblPr>
      <w:tbl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blBorders>
    </w:tblPr>
    <w:tcPr>
      <w:vAlign w:val="center"/>
    </w:tcPr>
    <w:tblStylePr w:type="firstRow">
      <w:pPr>
        <w:spacing w:before="0" w:after="0" w:line="240" w:lineRule="auto"/>
        <w:jc w:val="center"/>
      </w:pPr>
      <w:rPr>
        <w:b/>
        <w:bCs/>
        <w:color w:val="FFFFFF" w:themeColor="background1"/>
      </w:rPr>
      <w:tblPr/>
      <w:tcPr>
        <w:tcBorders>
          <w:insideH w:val="single" w:sz="6" w:space="0" w:color="FFFFFF" w:themeColor="background1"/>
          <w:insideV w:val="single" w:sz="6" w:space="0" w:color="FFFFFF" w:themeColor="background1"/>
        </w:tcBorders>
        <w:shd w:val="clear" w:color="auto" w:fill="CD042E" w:themeFill="accent1"/>
      </w:tcPr>
    </w:tblStylePr>
    <w:tblStylePr w:type="lastRow">
      <w:pPr>
        <w:spacing w:before="0" w:after="0" w:line="240" w:lineRule="auto"/>
      </w:pPr>
      <w:rPr>
        <w:b/>
        <w:bCs/>
      </w:rPr>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tcPr>
    </w:tblStylePr>
    <w:tblStylePr w:type="firstCol">
      <w:pPr>
        <w:jc w:val="left"/>
      </w:pPr>
      <w:rPr>
        <w:b/>
        <w:bCs/>
      </w:rPr>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shd w:val="clear" w:color="auto" w:fill="EEECE1" w:themeFill="background2"/>
      </w:tcPr>
    </w:tblStylePr>
    <w:tblStylePr w:type="lastCol">
      <w:rPr>
        <w:b/>
        <w:bCs/>
      </w:rPr>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tcPr>
    </w:tblStylePr>
    <w:tblStylePr w:type="band1Vert">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tcPr>
    </w:tblStylePr>
    <w:tblStylePr w:type="band2Vert">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tcPr>
    </w:tblStylePr>
    <w:tblStylePr w:type="band1Horz">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tcPr>
    </w:tblStylePr>
    <w:tblStylePr w:type="band2Horz">
      <w:tblPr/>
      <w:tcPr>
        <w:tcBorders>
          <w:top w:val="single" w:sz="4" w:space="0" w:color="CD042E" w:themeColor="accent1"/>
          <w:left w:val="single" w:sz="4" w:space="0" w:color="CD042E" w:themeColor="accent1"/>
          <w:bottom w:val="single" w:sz="4" w:space="0" w:color="CD042E" w:themeColor="accent1"/>
          <w:right w:val="single" w:sz="4" w:space="0" w:color="CD042E" w:themeColor="accent1"/>
          <w:insideH w:val="single" w:sz="4" w:space="0" w:color="CD042E" w:themeColor="accent1"/>
          <w:insideV w:val="single" w:sz="4" w:space="0" w:color="CD042E" w:themeColor="accent1"/>
        </w:tcBorders>
      </w:tcPr>
    </w:tblStylePr>
    <w:tblStylePr w:type="nwCell">
      <w:pPr>
        <w:jc w:val="left"/>
      </w:pPr>
      <w:tblPr/>
      <w:tcPr>
        <w:vAlign w:val="top"/>
      </w:tcPr>
    </w:tblStylePr>
  </w:style>
  <w:style w:type="table" w:styleId="HelleListe">
    <w:name w:val="Light List"/>
    <w:basedOn w:val="NormaleTabelle"/>
    <w:uiPriority w:val="61"/>
    <w:rsid w:val="009E4E91"/>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Kopfzeile">
    <w:name w:val="header"/>
    <w:basedOn w:val="Standard"/>
    <w:link w:val="KopfzeileZchn"/>
    <w:uiPriority w:val="99"/>
    <w:unhideWhenUsed/>
    <w:rsid w:val="008669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669A6"/>
    <w:rPr>
      <w:sz w:val="24"/>
      <w:szCs w:val="22"/>
    </w:rPr>
  </w:style>
  <w:style w:type="paragraph" w:styleId="Fuzeile">
    <w:name w:val="footer"/>
    <w:basedOn w:val="Standard"/>
    <w:link w:val="FuzeileZchn"/>
    <w:uiPriority w:val="99"/>
    <w:unhideWhenUsed/>
    <w:rsid w:val="008669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669A6"/>
    <w:rPr>
      <w:sz w:val="24"/>
      <w:szCs w:val="22"/>
    </w:rPr>
  </w:style>
  <w:style w:type="table" w:customStyle="1" w:styleId="Tabellenraster1">
    <w:name w:val="Tabellenraster1"/>
    <w:basedOn w:val="NormaleTabelle"/>
    <w:next w:val="Tabellenraster"/>
    <w:uiPriority w:val="59"/>
    <w:rsid w:val="008669A6"/>
    <w:pPr>
      <w:spacing w:line="240"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556">
      <w:bodyDiv w:val="1"/>
      <w:marLeft w:val="0"/>
      <w:marRight w:val="0"/>
      <w:marTop w:val="0"/>
      <w:marBottom w:val="0"/>
      <w:divBdr>
        <w:top w:val="none" w:sz="0" w:space="0" w:color="auto"/>
        <w:left w:val="none" w:sz="0" w:space="0" w:color="auto"/>
        <w:bottom w:val="none" w:sz="0" w:space="0" w:color="auto"/>
        <w:right w:val="none" w:sz="0" w:space="0" w:color="auto"/>
      </w:divBdr>
      <w:divsChild>
        <w:div w:id="890389462">
          <w:marLeft w:val="0"/>
          <w:marRight w:val="0"/>
          <w:marTop w:val="0"/>
          <w:marBottom w:val="0"/>
          <w:divBdr>
            <w:top w:val="none" w:sz="0" w:space="0" w:color="auto"/>
            <w:left w:val="none" w:sz="0" w:space="0" w:color="auto"/>
            <w:bottom w:val="none" w:sz="0" w:space="0" w:color="auto"/>
            <w:right w:val="none" w:sz="0" w:space="0" w:color="auto"/>
          </w:divBdr>
          <w:divsChild>
            <w:div w:id="1713579899">
              <w:marLeft w:val="0"/>
              <w:marRight w:val="0"/>
              <w:marTop w:val="0"/>
              <w:marBottom w:val="0"/>
              <w:divBdr>
                <w:top w:val="none" w:sz="0" w:space="0" w:color="auto"/>
                <w:left w:val="none" w:sz="0" w:space="0" w:color="auto"/>
                <w:bottom w:val="none" w:sz="0" w:space="0" w:color="auto"/>
                <w:right w:val="none" w:sz="0" w:space="0" w:color="auto"/>
              </w:divBdr>
              <w:divsChild>
                <w:div w:id="159275100">
                  <w:marLeft w:val="0"/>
                  <w:marRight w:val="0"/>
                  <w:marTop w:val="0"/>
                  <w:marBottom w:val="0"/>
                  <w:divBdr>
                    <w:top w:val="none" w:sz="0" w:space="0" w:color="auto"/>
                    <w:left w:val="none" w:sz="0" w:space="0" w:color="auto"/>
                    <w:bottom w:val="none" w:sz="0" w:space="0" w:color="auto"/>
                    <w:right w:val="none" w:sz="0" w:space="0" w:color="auto"/>
                  </w:divBdr>
                  <w:divsChild>
                    <w:div w:id="233786747">
                      <w:marLeft w:val="0"/>
                      <w:marRight w:val="0"/>
                      <w:marTop w:val="0"/>
                      <w:marBottom w:val="0"/>
                      <w:divBdr>
                        <w:top w:val="none" w:sz="0" w:space="0" w:color="auto"/>
                        <w:left w:val="none" w:sz="0" w:space="0" w:color="auto"/>
                        <w:bottom w:val="none" w:sz="0" w:space="0" w:color="auto"/>
                        <w:right w:val="none" w:sz="0" w:space="0" w:color="auto"/>
                      </w:divBdr>
                      <w:divsChild>
                        <w:div w:id="1322155250">
                          <w:marLeft w:val="0"/>
                          <w:marRight w:val="0"/>
                          <w:marTop w:val="0"/>
                          <w:marBottom w:val="0"/>
                          <w:divBdr>
                            <w:top w:val="none" w:sz="0" w:space="0" w:color="auto"/>
                            <w:left w:val="none" w:sz="0" w:space="0" w:color="auto"/>
                            <w:bottom w:val="none" w:sz="0" w:space="0" w:color="auto"/>
                            <w:right w:val="none" w:sz="0" w:space="0" w:color="auto"/>
                          </w:divBdr>
                          <w:divsChild>
                            <w:div w:id="1163013832">
                              <w:marLeft w:val="0"/>
                              <w:marRight w:val="0"/>
                              <w:marTop w:val="0"/>
                              <w:marBottom w:val="0"/>
                              <w:divBdr>
                                <w:top w:val="none" w:sz="0" w:space="0" w:color="auto"/>
                                <w:left w:val="none" w:sz="0" w:space="0" w:color="auto"/>
                                <w:bottom w:val="none" w:sz="0" w:space="0" w:color="auto"/>
                                <w:right w:val="none" w:sz="0" w:space="0" w:color="auto"/>
                              </w:divBdr>
                              <w:divsChild>
                                <w:div w:id="1853836899">
                                  <w:marLeft w:val="0"/>
                                  <w:marRight w:val="0"/>
                                  <w:marTop w:val="0"/>
                                  <w:marBottom w:val="0"/>
                                  <w:divBdr>
                                    <w:top w:val="none" w:sz="0" w:space="0" w:color="auto"/>
                                    <w:left w:val="none" w:sz="0" w:space="0" w:color="auto"/>
                                    <w:bottom w:val="none" w:sz="0" w:space="0" w:color="auto"/>
                                    <w:right w:val="none" w:sz="0" w:space="0" w:color="auto"/>
                                  </w:divBdr>
                                  <w:divsChild>
                                    <w:div w:id="1967077209">
                                      <w:marLeft w:val="0"/>
                                      <w:marRight w:val="0"/>
                                      <w:marTop w:val="0"/>
                                      <w:marBottom w:val="0"/>
                                      <w:divBdr>
                                        <w:top w:val="none" w:sz="0" w:space="0" w:color="auto"/>
                                        <w:left w:val="none" w:sz="0" w:space="0" w:color="auto"/>
                                        <w:bottom w:val="none" w:sz="0" w:space="0" w:color="auto"/>
                                        <w:right w:val="none" w:sz="0" w:space="0" w:color="auto"/>
                                      </w:divBdr>
                                      <w:divsChild>
                                        <w:div w:id="920211635">
                                          <w:marLeft w:val="0"/>
                                          <w:marRight w:val="0"/>
                                          <w:marTop w:val="0"/>
                                          <w:marBottom w:val="0"/>
                                          <w:divBdr>
                                            <w:top w:val="none" w:sz="0" w:space="0" w:color="auto"/>
                                            <w:left w:val="none" w:sz="0" w:space="0" w:color="auto"/>
                                            <w:bottom w:val="none" w:sz="0" w:space="0" w:color="auto"/>
                                            <w:right w:val="none" w:sz="0" w:space="0" w:color="auto"/>
                                          </w:divBdr>
                                          <w:divsChild>
                                            <w:div w:id="2040857385">
                                              <w:marLeft w:val="0"/>
                                              <w:marRight w:val="0"/>
                                              <w:marTop w:val="0"/>
                                              <w:marBottom w:val="0"/>
                                              <w:divBdr>
                                                <w:top w:val="none" w:sz="0" w:space="0" w:color="auto"/>
                                                <w:left w:val="none" w:sz="0" w:space="0" w:color="auto"/>
                                                <w:bottom w:val="none" w:sz="0" w:space="0" w:color="auto"/>
                                                <w:right w:val="none" w:sz="0" w:space="0" w:color="auto"/>
                                              </w:divBdr>
                                              <w:divsChild>
                                                <w:div w:id="21077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644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st">
  <a:themeElements>
    <a:clrScheme name="ifb_musterschema">
      <a:dk1>
        <a:sysClr val="windowText" lastClr="000000"/>
      </a:dk1>
      <a:lt1>
        <a:sysClr val="window" lastClr="FFFFFF"/>
      </a:lt1>
      <a:dk2>
        <a:srgbClr val="CD042E"/>
      </a:dk2>
      <a:lt2>
        <a:srgbClr val="EEECE1"/>
      </a:lt2>
      <a:accent1>
        <a:srgbClr val="CD042E"/>
      </a:accent1>
      <a:accent2>
        <a:srgbClr val="555555"/>
      </a:accent2>
      <a:accent3>
        <a:srgbClr val="D9D3C9"/>
      </a:accent3>
      <a:accent4>
        <a:srgbClr val="EE7F00"/>
      </a:accent4>
      <a:accent5>
        <a:srgbClr val="509F25"/>
      </a:accent5>
      <a:accent6>
        <a:srgbClr val="000000"/>
      </a:accent6>
      <a:hlink>
        <a:srgbClr val="000000"/>
      </a:hlink>
      <a:folHlink>
        <a:srgbClr val="EE7F00"/>
      </a:folHlink>
    </a:clrScheme>
    <a:fontScheme name="ifb_schriftmuster">
      <a:majorFont>
        <a:latin typeface="Arial"/>
        <a:ea typeface=""/>
        <a:cs typeface=""/>
      </a:majorFont>
      <a:minorFont>
        <a:latin typeface="Arial"/>
        <a:ea typeface=""/>
        <a:cs typeface=""/>
      </a:minorFont>
    </a:fontScheme>
    <a:fmtScheme name="Klarheit">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B3F6EB6F6B36F489CFA7F29106E8783" ma:contentTypeVersion="16" ma:contentTypeDescription="Ein neues Dokument erstellen." ma:contentTypeScope="" ma:versionID="f6849b0b9a7a08c639686b86018bdb50">
  <xsd:schema xmlns:xsd="http://www.w3.org/2001/XMLSchema" xmlns:xs="http://www.w3.org/2001/XMLSchema" xmlns:p="http://schemas.microsoft.com/office/2006/metadata/properties" xmlns:ns2="9b0e2401-1ee3-4cc9-a7cb-c4b2b39117ce" xmlns:ns3="3b63b513-fe92-4f1c-b479-013fdbc89699" targetNamespace="http://schemas.microsoft.com/office/2006/metadata/properties" ma:root="true" ma:fieldsID="4a7bc8369970b85ccf9657b67d25f799" ns2:_="" ns3:_="">
    <xsd:import namespace="9b0e2401-1ee3-4cc9-a7cb-c4b2b39117ce"/>
    <xsd:import namespace="3b63b513-fe92-4f1c-b479-013fdbc896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e2401-1ee3-4cc9-a7cb-c4b2b391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120daf2-6460-4cb9-a3c9-aab4226462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63b513-fe92-4f1c-b479-013fdbc89699"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6c21f81-5643-4f5b-ba09-7749487a61c9}" ma:internalName="TaxCatchAll" ma:showField="CatchAllData" ma:web="3b63b513-fe92-4f1c-b479-013fdbc896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63b513-fe92-4f1c-b479-013fdbc89699" xsi:nil="true"/>
    <lcf76f155ced4ddcb4097134ff3c332f xmlns="9b0e2401-1ee3-4cc9-a7cb-c4b2b39117ce">
      <Terms xmlns="http://schemas.microsoft.com/office/infopath/2007/PartnerControls"/>
    </lcf76f155ced4ddcb4097134ff3c332f>
    <SharedWithUsers xmlns="3b63b513-fe92-4f1c-b479-013fdbc89699">
      <UserInfo>
        <DisplayName>Nadja Segerud</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92E9E-A390-4D92-B787-E250E87B8C74}">
  <ds:schemaRefs>
    <ds:schemaRef ds:uri="http://schemas.microsoft.com/sharepoint/v3/contenttype/forms"/>
  </ds:schemaRefs>
</ds:datastoreItem>
</file>

<file path=customXml/itemProps2.xml><?xml version="1.0" encoding="utf-8"?>
<ds:datastoreItem xmlns:ds="http://schemas.openxmlformats.org/officeDocument/2006/customXml" ds:itemID="{9D80F908-9879-440B-B0CD-EEEDA4939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e2401-1ee3-4cc9-a7cb-c4b2b39117ce"/>
    <ds:schemaRef ds:uri="3b63b513-fe92-4f1c-b479-013fdbc89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564B2F-1985-48B2-BAAB-D05EEB068472}">
  <ds:schemaRefs>
    <ds:schemaRef ds:uri="http://schemas.microsoft.com/office/2006/metadata/properties"/>
    <ds:schemaRef ds:uri="http://schemas.microsoft.com/office/infopath/2007/PartnerControls"/>
    <ds:schemaRef ds:uri="3b63b513-fe92-4f1c-b479-013fdbc89699"/>
    <ds:schemaRef ds:uri="9b0e2401-1ee3-4cc9-a7cb-c4b2b39117ce"/>
  </ds:schemaRefs>
</ds:datastoreItem>
</file>

<file path=customXml/itemProps4.xml><?xml version="1.0" encoding="utf-8"?>
<ds:datastoreItem xmlns:ds="http://schemas.openxmlformats.org/officeDocument/2006/customXml" ds:itemID="{E75D4C0A-65ED-4514-A291-82200D16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3911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Hubert</dc:creator>
  <cp:keywords/>
  <dc:description/>
  <cp:lastModifiedBy>Martina Wendt</cp:lastModifiedBy>
  <cp:revision>69</cp:revision>
  <dcterms:created xsi:type="dcterms:W3CDTF">2021-08-20T10:27:00Z</dcterms:created>
  <dcterms:modified xsi:type="dcterms:W3CDTF">2023-06-06T09:00:00Z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0x0101003B3F6EB6F6B36F489CFA7F29106E8783</vt:lpwstr>
  </property>
  <property fmtid="{D5CDD505-2E9C-101B-9397-08002B2CF9AE}" pid="3" name="MediaServiceImageTags">
    <vt:lpwstr/>
  </property>
</Properties>
</file>